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1D" w:rsidRPr="000A3E1D" w:rsidRDefault="000A3E1D" w:rsidP="000A3E1D">
      <w:pPr>
        <w:jc w:val="both"/>
        <w:rPr>
          <w:rFonts w:ascii="Verdana" w:eastAsia="Times New Roman" w:hAnsi="Verdana"/>
          <w:b/>
          <w:sz w:val="20"/>
          <w:szCs w:val="20"/>
        </w:rPr>
      </w:pPr>
      <w:r w:rsidRPr="000A3E1D">
        <w:rPr>
          <w:rFonts w:ascii="Verdana" w:eastAsia="Times New Roman" w:hAnsi="Verdana"/>
          <w:sz w:val="20"/>
          <w:szCs w:val="20"/>
        </w:rPr>
        <w:t>The Department of Education and Skills (DES) have published on its website the above document and the accompanying circular 0081/2017. The procedures come into effect immediately.</w:t>
      </w:r>
    </w:p>
    <w:p w:rsidR="000A3E1D" w:rsidRPr="000A3E1D" w:rsidRDefault="000A3E1D" w:rsidP="000A3E1D">
      <w:pPr>
        <w:jc w:val="both"/>
        <w:rPr>
          <w:rFonts w:ascii="Verdana" w:eastAsia="Times New Roman" w:hAnsi="Verdana"/>
          <w:sz w:val="20"/>
          <w:szCs w:val="20"/>
        </w:rPr>
      </w:pPr>
    </w:p>
    <w:p w:rsidR="000A3E1D" w:rsidRPr="000A3E1D" w:rsidRDefault="000A3E1D" w:rsidP="000A3E1D">
      <w:pPr>
        <w:jc w:val="both"/>
        <w:rPr>
          <w:rFonts w:ascii="Verdana" w:eastAsia="Times New Roman" w:hAnsi="Verdana"/>
          <w:b/>
          <w:sz w:val="20"/>
          <w:szCs w:val="20"/>
        </w:rPr>
      </w:pPr>
      <w:r w:rsidRPr="000A3E1D">
        <w:rPr>
          <w:rFonts w:ascii="Verdana" w:eastAsia="Times New Roman" w:hAnsi="Verdana"/>
          <w:b/>
          <w:sz w:val="20"/>
          <w:szCs w:val="20"/>
        </w:rPr>
        <w:t>What are the key measures?</w:t>
      </w:r>
    </w:p>
    <w:p w:rsidR="000A3E1D" w:rsidRPr="000A3E1D" w:rsidRDefault="000A3E1D" w:rsidP="000A3E1D">
      <w:pPr>
        <w:pStyle w:val="ListParagraph"/>
        <w:numPr>
          <w:ilvl w:val="0"/>
          <w:numId w:val="1"/>
        </w:numPr>
        <w:spacing w:after="0" w:line="240" w:lineRule="auto"/>
        <w:jc w:val="both"/>
        <w:rPr>
          <w:rFonts w:ascii="Verdana" w:eastAsia="Times New Roman" w:hAnsi="Verdana"/>
          <w:sz w:val="20"/>
          <w:szCs w:val="20"/>
        </w:rPr>
      </w:pPr>
      <w:r w:rsidRPr="000A3E1D">
        <w:rPr>
          <w:rFonts w:ascii="Verdana" w:eastAsia="Times New Roman" w:hAnsi="Verdana"/>
          <w:sz w:val="20"/>
          <w:szCs w:val="20"/>
        </w:rPr>
        <w:t>A statutory requirement that schools keep pupils safe from harm</w:t>
      </w:r>
    </w:p>
    <w:p w:rsidR="000A3E1D" w:rsidRPr="000A3E1D" w:rsidRDefault="000A3E1D" w:rsidP="000A3E1D">
      <w:pPr>
        <w:pStyle w:val="ListParagraph"/>
        <w:numPr>
          <w:ilvl w:val="0"/>
          <w:numId w:val="1"/>
        </w:numPr>
        <w:spacing w:after="0" w:line="240" w:lineRule="auto"/>
        <w:jc w:val="both"/>
        <w:rPr>
          <w:rFonts w:ascii="Verdana" w:eastAsia="Times New Roman" w:hAnsi="Verdana"/>
          <w:sz w:val="20"/>
          <w:szCs w:val="20"/>
        </w:rPr>
      </w:pPr>
      <w:r w:rsidRPr="000A3E1D">
        <w:rPr>
          <w:rFonts w:ascii="Verdana" w:eastAsia="Times New Roman" w:hAnsi="Verdana"/>
          <w:sz w:val="20"/>
          <w:szCs w:val="20"/>
        </w:rPr>
        <w:t>Schools must produce a Child Safeguarding Statement, to include a risk assessment, by 11 March 2018</w:t>
      </w:r>
    </w:p>
    <w:p w:rsidR="000A3E1D" w:rsidRPr="000A3E1D" w:rsidRDefault="000A3E1D" w:rsidP="000A3E1D">
      <w:pPr>
        <w:pStyle w:val="ListParagraph"/>
        <w:numPr>
          <w:ilvl w:val="0"/>
          <w:numId w:val="1"/>
        </w:numPr>
        <w:spacing w:after="0" w:line="240" w:lineRule="auto"/>
        <w:jc w:val="both"/>
        <w:rPr>
          <w:rFonts w:ascii="Verdana" w:eastAsia="Times New Roman" w:hAnsi="Verdana"/>
          <w:sz w:val="20"/>
          <w:szCs w:val="20"/>
        </w:rPr>
      </w:pPr>
      <w:r w:rsidRPr="000A3E1D">
        <w:rPr>
          <w:rFonts w:ascii="Verdana" w:eastAsia="Times New Roman" w:hAnsi="Verdana"/>
          <w:sz w:val="20"/>
          <w:szCs w:val="20"/>
        </w:rPr>
        <w:t>Every registered teacher, as a Mandated Person, now has a statutory obligation to report child protection concerns over a defined threshold to the Child and Family Agency (</w:t>
      </w:r>
      <w:proofErr w:type="spellStart"/>
      <w:r w:rsidRPr="000A3E1D">
        <w:rPr>
          <w:rFonts w:ascii="Verdana" w:eastAsia="Times New Roman" w:hAnsi="Verdana"/>
          <w:sz w:val="20"/>
          <w:szCs w:val="20"/>
        </w:rPr>
        <w:t>Tusla</w:t>
      </w:r>
      <w:proofErr w:type="spellEnd"/>
      <w:r w:rsidRPr="000A3E1D">
        <w:rPr>
          <w:rFonts w:ascii="Verdana" w:eastAsia="Times New Roman" w:hAnsi="Verdana"/>
          <w:sz w:val="20"/>
          <w:szCs w:val="20"/>
        </w:rPr>
        <w:t>). Such reports are referred to as mandated reports</w:t>
      </w:r>
    </w:p>
    <w:p w:rsidR="000A3E1D" w:rsidRPr="000A3E1D" w:rsidRDefault="000A3E1D" w:rsidP="000A3E1D">
      <w:pPr>
        <w:pStyle w:val="ListParagraph"/>
        <w:numPr>
          <w:ilvl w:val="0"/>
          <w:numId w:val="1"/>
        </w:numPr>
        <w:spacing w:after="0" w:line="240" w:lineRule="auto"/>
        <w:jc w:val="both"/>
        <w:rPr>
          <w:rFonts w:ascii="Verdana" w:eastAsia="Times New Roman" w:hAnsi="Verdana"/>
          <w:sz w:val="20"/>
          <w:szCs w:val="20"/>
        </w:rPr>
      </w:pPr>
      <w:r w:rsidRPr="000A3E1D">
        <w:rPr>
          <w:rFonts w:ascii="Verdana" w:eastAsia="Times New Roman" w:hAnsi="Verdana"/>
          <w:sz w:val="20"/>
          <w:szCs w:val="20"/>
        </w:rPr>
        <w:t xml:space="preserve">A requirement on mandated persons to assist </w:t>
      </w:r>
      <w:proofErr w:type="spellStart"/>
      <w:r w:rsidRPr="000A3E1D">
        <w:rPr>
          <w:rFonts w:ascii="Verdana" w:eastAsia="Times New Roman" w:hAnsi="Verdana"/>
          <w:sz w:val="20"/>
          <w:szCs w:val="20"/>
        </w:rPr>
        <w:t>Tusla</w:t>
      </w:r>
      <w:proofErr w:type="spellEnd"/>
      <w:r w:rsidRPr="000A3E1D">
        <w:rPr>
          <w:rFonts w:ascii="Verdana" w:eastAsia="Times New Roman" w:hAnsi="Verdana"/>
          <w:sz w:val="20"/>
          <w:szCs w:val="20"/>
        </w:rPr>
        <w:t xml:space="preserve"> in the assessment of child protection risk, if so requested.</w:t>
      </w:r>
    </w:p>
    <w:p w:rsidR="000A3E1D" w:rsidRPr="000A3E1D" w:rsidRDefault="000A3E1D" w:rsidP="000A3E1D">
      <w:pPr>
        <w:jc w:val="both"/>
        <w:rPr>
          <w:rFonts w:ascii="Verdana" w:eastAsia="Times New Roman" w:hAnsi="Verdana"/>
          <w:sz w:val="20"/>
          <w:szCs w:val="20"/>
        </w:rPr>
      </w:pPr>
    </w:p>
    <w:p w:rsidR="000A3E1D" w:rsidRPr="000A3E1D" w:rsidRDefault="000A3E1D" w:rsidP="000A3E1D">
      <w:pPr>
        <w:jc w:val="both"/>
        <w:rPr>
          <w:rFonts w:ascii="Verdana" w:eastAsia="Times New Roman" w:hAnsi="Verdana"/>
          <w:b/>
          <w:sz w:val="20"/>
          <w:szCs w:val="20"/>
        </w:rPr>
      </w:pPr>
      <w:r w:rsidRPr="000A3E1D">
        <w:rPr>
          <w:rFonts w:ascii="Verdana" w:eastAsia="Times New Roman" w:hAnsi="Verdana"/>
          <w:b/>
          <w:sz w:val="20"/>
          <w:szCs w:val="20"/>
        </w:rPr>
        <w:t>What is a ‘mandated person’?</w:t>
      </w:r>
    </w:p>
    <w:p w:rsidR="000A3E1D" w:rsidRPr="000A3E1D" w:rsidRDefault="000A3E1D" w:rsidP="000A3E1D">
      <w:pPr>
        <w:jc w:val="both"/>
        <w:rPr>
          <w:rFonts w:ascii="Verdana" w:eastAsia="Times New Roman" w:hAnsi="Verdana"/>
          <w:sz w:val="20"/>
          <w:szCs w:val="20"/>
        </w:rPr>
      </w:pPr>
      <w:r w:rsidRPr="000A3E1D">
        <w:rPr>
          <w:rFonts w:ascii="Verdana" w:eastAsia="Times New Roman" w:hAnsi="Verdana"/>
          <w:sz w:val="20"/>
          <w:szCs w:val="20"/>
        </w:rPr>
        <w:t xml:space="preserve">Where a registered teacher receives an allegation or has a suspicion that a child may have been abused or neglected, or is at risk of being abused or neglected, in addition to reporting the matter to the Designated Liaison Person (DLP) in that school, he or she must also consider whether it is necessary for him or her (i.e. the teacher) to make a mandated report to </w:t>
      </w:r>
      <w:proofErr w:type="spellStart"/>
      <w:r w:rsidRPr="000A3E1D">
        <w:rPr>
          <w:rFonts w:ascii="Verdana" w:eastAsia="Times New Roman" w:hAnsi="Verdana"/>
          <w:sz w:val="20"/>
          <w:szCs w:val="20"/>
        </w:rPr>
        <w:t>Tusla</w:t>
      </w:r>
      <w:proofErr w:type="spellEnd"/>
      <w:r w:rsidRPr="000A3E1D">
        <w:rPr>
          <w:rFonts w:ascii="Verdana" w:eastAsia="Times New Roman" w:hAnsi="Verdana"/>
          <w:sz w:val="20"/>
          <w:szCs w:val="20"/>
        </w:rPr>
        <w:t xml:space="preserve"> in respect of that concern.</w:t>
      </w:r>
    </w:p>
    <w:p w:rsidR="000A3E1D" w:rsidRPr="000A3E1D" w:rsidRDefault="000A3E1D" w:rsidP="000A3E1D">
      <w:pPr>
        <w:jc w:val="both"/>
        <w:rPr>
          <w:rFonts w:ascii="Verdana" w:eastAsia="Times New Roman" w:hAnsi="Verdana"/>
          <w:sz w:val="20"/>
          <w:szCs w:val="20"/>
        </w:rPr>
      </w:pPr>
    </w:p>
    <w:p w:rsidR="000A3E1D" w:rsidRPr="000A3E1D" w:rsidRDefault="000A3E1D" w:rsidP="000A3E1D">
      <w:pPr>
        <w:jc w:val="both"/>
        <w:rPr>
          <w:rFonts w:ascii="Verdana" w:eastAsia="Times New Roman" w:hAnsi="Verdana"/>
          <w:b/>
          <w:sz w:val="20"/>
          <w:szCs w:val="20"/>
        </w:rPr>
      </w:pPr>
      <w:r w:rsidRPr="000A3E1D">
        <w:rPr>
          <w:rFonts w:ascii="Verdana" w:eastAsia="Times New Roman" w:hAnsi="Verdana"/>
          <w:b/>
          <w:sz w:val="20"/>
          <w:szCs w:val="20"/>
        </w:rPr>
        <w:t>What are the two main statutory obligations of mandated persons?</w:t>
      </w:r>
    </w:p>
    <w:p w:rsidR="000A3E1D" w:rsidRPr="000A3E1D" w:rsidRDefault="000A3E1D" w:rsidP="000A3E1D">
      <w:pPr>
        <w:pStyle w:val="ListParagraph"/>
        <w:numPr>
          <w:ilvl w:val="0"/>
          <w:numId w:val="2"/>
        </w:numPr>
        <w:spacing w:after="0" w:line="240" w:lineRule="auto"/>
        <w:jc w:val="both"/>
        <w:rPr>
          <w:rFonts w:ascii="Verdana" w:eastAsia="Times New Roman" w:hAnsi="Verdana"/>
          <w:sz w:val="20"/>
          <w:szCs w:val="20"/>
        </w:rPr>
      </w:pPr>
      <w:r w:rsidRPr="000A3E1D">
        <w:rPr>
          <w:rFonts w:ascii="Verdana" w:eastAsia="Times New Roman" w:hAnsi="Verdana"/>
          <w:sz w:val="20"/>
          <w:szCs w:val="20"/>
        </w:rPr>
        <w:t xml:space="preserve">To report to </w:t>
      </w:r>
      <w:proofErr w:type="spellStart"/>
      <w:r w:rsidRPr="000A3E1D">
        <w:rPr>
          <w:rFonts w:ascii="Verdana" w:eastAsia="Times New Roman" w:hAnsi="Verdana"/>
          <w:sz w:val="20"/>
          <w:szCs w:val="20"/>
        </w:rPr>
        <w:t>Tusla</w:t>
      </w:r>
      <w:proofErr w:type="spellEnd"/>
      <w:r w:rsidRPr="000A3E1D">
        <w:rPr>
          <w:rFonts w:ascii="Verdana" w:eastAsia="Times New Roman" w:hAnsi="Verdana"/>
          <w:sz w:val="20"/>
          <w:szCs w:val="20"/>
        </w:rPr>
        <w:t xml:space="preserve"> any knowledge, belief or reasonable grounds to suspect that a child:</w:t>
      </w:r>
    </w:p>
    <w:p w:rsidR="000A3E1D" w:rsidRPr="000A3E1D" w:rsidRDefault="000A3E1D" w:rsidP="000A3E1D">
      <w:pPr>
        <w:numPr>
          <w:ilvl w:val="0"/>
          <w:numId w:val="3"/>
        </w:numPr>
        <w:ind w:left="720" w:hanging="360"/>
        <w:jc w:val="both"/>
        <w:rPr>
          <w:rFonts w:ascii="Verdana" w:eastAsia="Times New Roman" w:hAnsi="Verdana"/>
          <w:sz w:val="20"/>
          <w:szCs w:val="20"/>
        </w:rPr>
      </w:pPr>
      <w:r w:rsidRPr="000A3E1D">
        <w:rPr>
          <w:rFonts w:ascii="Verdana" w:eastAsia="Times New Roman" w:hAnsi="Verdana"/>
          <w:sz w:val="20"/>
          <w:szCs w:val="20"/>
        </w:rPr>
        <w:t xml:space="preserve">Has been harmed </w:t>
      </w:r>
    </w:p>
    <w:p w:rsidR="000A3E1D" w:rsidRPr="000A3E1D" w:rsidRDefault="000A3E1D" w:rsidP="000A3E1D">
      <w:pPr>
        <w:numPr>
          <w:ilvl w:val="0"/>
          <w:numId w:val="3"/>
        </w:numPr>
        <w:ind w:left="720" w:hanging="360"/>
        <w:jc w:val="both"/>
        <w:rPr>
          <w:rFonts w:ascii="Verdana" w:eastAsia="Times New Roman" w:hAnsi="Verdana"/>
          <w:sz w:val="20"/>
          <w:szCs w:val="20"/>
        </w:rPr>
      </w:pPr>
      <w:r w:rsidRPr="000A3E1D">
        <w:rPr>
          <w:rFonts w:ascii="Verdana" w:eastAsia="Times New Roman" w:hAnsi="Verdana"/>
          <w:sz w:val="20"/>
          <w:szCs w:val="20"/>
        </w:rPr>
        <w:t>Is being harmed, or</w:t>
      </w:r>
    </w:p>
    <w:p w:rsidR="000A3E1D" w:rsidRPr="000A3E1D" w:rsidRDefault="000A3E1D" w:rsidP="000A3E1D">
      <w:pPr>
        <w:numPr>
          <w:ilvl w:val="0"/>
          <w:numId w:val="3"/>
        </w:numPr>
        <w:ind w:left="720" w:hanging="360"/>
        <w:jc w:val="both"/>
        <w:rPr>
          <w:rFonts w:ascii="Verdana" w:eastAsia="Times New Roman" w:hAnsi="Verdana"/>
          <w:sz w:val="20"/>
          <w:szCs w:val="20"/>
        </w:rPr>
      </w:pPr>
      <w:r w:rsidRPr="000A3E1D">
        <w:rPr>
          <w:rFonts w:ascii="Verdana" w:eastAsia="Times New Roman" w:hAnsi="Verdana"/>
          <w:sz w:val="20"/>
          <w:szCs w:val="20"/>
        </w:rPr>
        <w:t xml:space="preserve">Is at risk of being harmed, and </w:t>
      </w:r>
    </w:p>
    <w:p w:rsidR="000A3E1D" w:rsidRPr="000A3E1D" w:rsidRDefault="000A3E1D" w:rsidP="000A3E1D">
      <w:pPr>
        <w:numPr>
          <w:ilvl w:val="0"/>
          <w:numId w:val="3"/>
        </w:numPr>
        <w:ind w:left="720" w:hanging="360"/>
        <w:jc w:val="both"/>
        <w:rPr>
          <w:rFonts w:ascii="Verdana" w:eastAsia="Times New Roman" w:hAnsi="Verdana"/>
          <w:sz w:val="20"/>
          <w:szCs w:val="20"/>
        </w:rPr>
      </w:pPr>
      <w:r w:rsidRPr="000A3E1D">
        <w:rPr>
          <w:rFonts w:ascii="Verdana" w:eastAsia="Times New Roman" w:hAnsi="Verdana"/>
          <w:sz w:val="20"/>
          <w:szCs w:val="20"/>
        </w:rPr>
        <w:t>To report any disclosures made by a child in relation to the above.</w:t>
      </w:r>
    </w:p>
    <w:p w:rsidR="000A3E1D" w:rsidRPr="000A3E1D" w:rsidRDefault="000A3E1D" w:rsidP="000A3E1D">
      <w:pPr>
        <w:jc w:val="both"/>
        <w:rPr>
          <w:rFonts w:ascii="Verdana" w:eastAsia="Times New Roman" w:hAnsi="Verdana"/>
          <w:sz w:val="20"/>
          <w:szCs w:val="20"/>
        </w:rPr>
      </w:pPr>
    </w:p>
    <w:p w:rsidR="000A3E1D" w:rsidRPr="000A3E1D" w:rsidRDefault="000A3E1D" w:rsidP="000A3E1D">
      <w:pPr>
        <w:pStyle w:val="ListParagraph"/>
        <w:numPr>
          <w:ilvl w:val="0"/>
          <w:numId w:val="2"/>
        </w:numPr>
        <w:spacing w:after="0" w:line="240" w:lineRule="auto"/>
        <w:jc w:val="both"/>
        <w:rPr>
          <w:rFonts w:ascii="Verdana" w:eastAsia="Times New Roman" w:hAnsi="Verdana"/>
          <w:sz w:val="20"/>
          <w:szCs w:val="20"/>
        </w:rPr>
      </w:pPr>
      <w:r w:rsidRPr="000A3E1D">
        <w:rPr>
          <w:rFonts w:ascii="Verdana" w:eastAsia="Times New Roman" w:hAnsi="Verdana"/>
          <w:sz w:val="20"/>
          <w:szCs w:val="20"/>
        </w:rPr>
        <w:t xml:space="preserve">To assist </w:t>
      </w:r>
      <w:proofErr w:type="spellStart"/>
      <w:r w:rsidRPr="000A3E1D">
        <w:rPr>
          <w:rFonts w:ascii="Verdana" w:eastAsia="Times New Roman" w:hAnsi="Verdana"/>
          <w:sz w:val="20"/>
          <w:szCs w:val="20"/>
        </w:rPr>
        <w:t>Tusla</w:t>
      </w:r>
      <w:proofErr w:type="spellEnd"/>
      <w:r w:rsidRPr="000A3E1D">
        <w:rPr>
          <w:rFonts w:ascii="Verdana" w:eastAsia="Times New Roman" w:hAnsi="Verdana"/>
          <w:sz w:val="20"/>
          <w:szCs w:val="20"/>
        </w:rPr>
        <w:t>, if requested under the Act, in assessing a concern which has been the subject of a mandated report.</w:t>
      </w:r>
    </w:p>
    <w:p w:rsidR="000A3E1D" w:rsidRPr="000A3E1D" w:rsidRDefault="000A3E1D" w:rsidP="000A3E1D">
      <w:pPr>
        <w:ind w:left="720"/>
        <w:jc w:val="both"/>
        <w:rPr>
          <w:rFonts w:ascii="Verdana" w:eastAsia="Times New Roman" w:hAnsi="Verdana"/>
          <w:sz w:val="20"/>
          <w:szCs w:val="20"/>
        </w:rPr>
      </w:pPr>
    </w:p>
    <w:p w:rsidR="000A3E1D" w:rsidRPr="000A3E1D" w:rsidRDefault="000A3E1D" w:rsidP="000A3E1D">
      <w:pPr>
        <w:jc w:val="both"/>
        <w:rPr>
          <w:rFonts w:ascii="Verdana" w:eastAsia="Times New Roman" w:hAnsi="Verdana"/>
          <w:b/>
          <w:sz w:val="20"/>
          <w:szCs w:val="20"/>
        </w:rPr>
      </w:pPr>
      <w:r w:rsidRPr="000A3E1D">
        <w:rPr>
          <w:rFonts w:ascii="Verdana" w:eastAsia="Times New Roman" w:hAnsi="Verdana"/>
          <w:b/>
          <w:sz w:val="20"/>
          <w:szCs w:val="20"/>
        </w:rPr>
        <w:t>What is the defined ‘Threshold of Harm’ in relation to a child?</w:t>
      </w:r>
    </w:p>
    <w:p w:rsidR="000A3E1D" w:rsidRPr="000A3E1D" w:rsidRDefault="000A3E1D" w:rsidP="000A3E1D">
      <w:pPr>
        <w:pStyle w:val="ListParagraph"/>
        <w:numPr>
          <w:ilvl w:val="0"/>
          <w:numId w:val="4"/>
        </w:numPr>
        <w:spacing w:after="0" w:line="240" w:lineRule="auto"/>
        <w:jc w:val="both"/>
        <w:rPr>
          <w:rFonts w:ascii="Verdana" w:eastAsia="Times New Roman" w:hAnsi="Verdana"/>
          <w:sz w:val="20"/>
          <w:szCs w:val="20"/>
        </w:rPr>
      </w:pPr>
      <w:r w:rsidRPr="000A3E1D">
        <w:rPr>
          <w:rFonts w:ascii="Verdana" w:eastAsia="Times New Roman" w:hAnsi="Verdana"/>
          <w:sz w:val="20"/>
          <w:szCs w:val="20"/>
        </w:rPr>
        <w:t xml:space="preserve">Assault, ill-treatment or neglect of the child in a manner that seriously affects or is likely to seriously affect the child’s health, development, or welfare, or </w:t>
      </w:r>
    </w:p>
    <w:p w:rsidR="000A3E1D" w:rsidRPr="000A3E1D" w:rsidRDefault="000A3E1D" w:rsidP="000A3E1D">
      <w:pPr>
        <w:pStyle w:val="ListParagraph"/>
        <w:numPr>
          <w:ilvl w:val="0"/>
          <w:numId w:val="4"/>
        </w:numPr>
        <w:spacing w:after="0" w:line="240" w:lineRule="auto"/>
        <w:jc w:val="both"/>
        <w:rPr>
          <w:rFonts w:ascii="Verdana" w:eastAsia="Times New Roman" w:hAnsi="Verdana"/>
          <w:sz w:val="20"/>
          <w:szCs w:val="20"/>
        </w:rPr>
      </w:pPr>
      <w:r w:rsidRPr="000A3E1D">
        <w:rPr>
          <w:rFonts w:ascii="Verdana" w:eastAsia="Times New Roman" w:hAnsi="Verdana"/>
          <w:sz w:val="20"/>
          <w:szCs w:val="20"/>
        </w:rPr>
        <w:t>Sexual abuse of the child.</w:t>
      </w:r>
    </w:p>
    <w:p w:rsidR="000A3E1D" w:rsidRPr="000A3E1D" w:rsidRDefault="000A3E1D" w:rsidP="000A3E1D">
      <w:pPr>
        <w:jc w:val="both"/>
        <w:rPr>
          <w:rFonts w:ascii="Verdana" w:eastAsia="Times New Roman" w:hAnsi="Verdana"/>
          <w:b/>
          <w:sz w:val="20"/>
          <w:szCs w:val="20"/>
        </w:rPr>
      </w:pPr>
    </w:p>
    <w:p w:rsidR="000A3E1D" w:rsidRPr="000A3E1D" w:rsidRDefault="000A3E1D" w:rsidP="000A3E1D">
      <w:pPr>
        <w:jc w:val="both"/>
        <w:rPr>
          <w:rFonts w:ascii="Verdana" w:eastAsia="Times New Roman" w:hAnsi="Verdana"/>
          <w:b/>
          <w:sz w:val="20"/>
          <w:szCs w:val="20"/>
        </w:rPr>
      </w:pPr>
      <w:r w:rsidRPr="000A3E1D">
        <w:rPr>
          <w:rFonts w:ascii="Verdana" w:eastAsia="Times New Roman" w:hAnsi="Verdana"/>
          <w:b/>
          <w:sz w:val="20"/>
          <w:szCs w:val="20"/>
        </w:rPr>
        <w:t>Principal’s Report to the Board of Management (BOM)</w:t>
      </w:r>
    </w:p>
    <w:p w:rsidR="000A3E1D" w:rsidRPr="000A3E1D" w:rsidRDefault="000A3E1D" w:rsidP="000A3E1D">
      <w:pPr>
        <w:jc w:val="both"/>
        <w:rPr>
          <w:rFonts w:ascii="Verdana" w:eastAsia="Times New Roman" w:hAnsi="Verdana"/>
          <w:sz w:val="20"/>
          <w:szCs w:val="20"/>
        </w:rPr>
      </w:pPr>
      <w:r w:rsidRPr="000A3E1D">
        <w:rPr>
          <w:rFonts w:ascii="Verdana" w:eastAsia="Times New Roman" w:hAnsi="Verdana"/>
          <w:sz w:val="20"/>
          <w:szCs w:val="20"/>
        </w:rPr>
        <w:t>In reporting to the BOM at each meeting, the principal shall include a Child Protection Oversight Report and will reference the following:</w:t>
      </w:r>
    </w:p>
    <w:p w:rsidR="000A3E1D" w:rsidRPr="000A3E1D" w:rsidRDefault="000A3E1D" w:rsidP="000A3E1D">
      <w:pPr>
        <w:pStyle w:val="ListParagraph"/>
        <w:numPr>
          <w:ilvl w:val="0"/>
          <w:numId w:val="5"/>
        </w:numPr>
        <w:jc w:val="both"/>
        <w:rPr>
          <w:rFonts w:ascii="Verdana" w:eastAsia="Times New Roman" w:hAnsi="Verdana"/>
          <w:sz w:val="20"/>
          <w:szCs w:val="20"/>
        </w:rPr>
      </w:pPr>
      <w:r w:rsidRPr="000A3E1D">
        <w:rPr>
          <w:rFonts w:ascii="Verdana" w:eastAsia="Times New Roman" w:hAnsi="Verdana"/>
          <w:sz w:val="20"/>
          <w:szCs w:val="20"/>
        </w:rPr>
        <w:t>Allegations of abuse made against members of school staff</w:t>
      </w:r>
    </w:p>
    <w:p w:rsidR="000A3E1D" w:rsidRPr="000A3E1D" w:rsidRDefault="000A3E1D" w:rsidP="000A3E1D">
      <w:pPr>
        <w:pStyle w:val="ListParagraph"/>
        <w:numPr>
          <w:ilvl w:val="0"/>
          <w:numId w:val="5"/>
        </w:numPr>
        <w:jc w:val="both"/>
        <w:rPr>
          <w:rFonts w:ascii="Verdana" w:eastAsia="Times New Roman" w:hAnsi="Verdana"/>
          <w:sz w:val="20"/>
          <w:szCs w:val="20"/>
        </w:rPr>
      </w:pPr>
      <w:r w:rsidRPr="000A3E1D">
        <w:rPr>
          <w:rFonts w:ascii="Verdana" w:eastAsia="Times New Roman" w:hAnsi="Verdana"/>
          <w:sz w:val="20"/>
          <w:szCs w:val="20"/>
        </w:rPr>
        <w:t>Child protection concerns not involving school staff</w:t>
      </w:r>
    </w:p>
    <w:p w:rsidR="000A3E1D" w:rsidRPr="000A3E1D" w:rsidRDefault="000A3E1D" w:rsidP="000A3E1D">
      <w:pPr>
        <w:pStyle w:val="ListParagraph"/>
        <w:numPr>
          <w:ilvl w:val="0"/>
          <w:numId w:val="5"/>
        </w:numPr>
        <w:jc w:val="both"/>
        <w:rPr>
          <w:rFonts w:ascii="Verdana" w:eastAsia="Times New Roman" w:hAnsi="Verdana"/>
          <w:sz w:val="20"/>
          <w:szCs w:val="20"/>
        </w:rPr>
      </w:pPr>
      <w:r w:rsidRPr="000A3E1D">
        <w:rPr>
          <w:rFonts w:ascii="Verdana" w:eastAsia="Times New Roman" w:hAnsi="Verdana"/>
          <w:sz w:val="20"/>
          <w:szCs w:val="20"/>
        </w:rPr>
        <w:t>Child protection concerns arising from alleged bullying behaviour amongst pupils</w:t>
      </w:r>
    </w:p>
    <w:p w:rsidR="000A3E1D" w:rsidRPr="000A3E1D" w:rsidRDefault="000A3E1D" w:rsidP="000A3E1D">
      <w:pPr>
        <w:pStyle w:val="ListParagraph"/>
        <w:numPr>
          <w:ilvl w:val="0"/>
          <w:numId w:val="5"/>
        </w:numPr>
        <w:jc w:val="both"/>
        <w:rPr>
          <w:rFonts w:ascii="Verdana" w:eastAsia="Times New Roman" w:hAnsi="Verdana"/>
          <w:sz w:val="20"/>
          <w:szCs w:val="20"/>
        </w:rPr>
      </w:pPr>
      <w:r w:rsidRPr="000A3E1D">
        <w:rPr>
          <w:rFonts w:ascii="Verdana" w:eastAsia="Times New Roman" w:hAnsi="Verdana"/>
          <w:sz w:val="20"/>
          <w:szCs w:val="20"/>
        </w:rPr>
        <w:t>Summary data in respect of reporting</w:t>
      </w:r>
    </w:p>
    <w:p w:rsidR="000A3E1D" w:rsidRPr="000A3E1D" w:rsidRDefault="000A3E1D" w:rsidP="000A3E1D">
      <w:pPr>
        <w:jc w:val="both"/>
        <w:rPr>
          <w:rFonts w:ascii="Verdana" w:eastAsia="Times New Roman" w:hAnsi="Verdana"/>
          <w:b/>
          <w:sz w:val="20"/>
          <w:szCs w:val="20"/>
        </w:rPr>
      </w:pPr>
      <w:r w:rsidRPr="000A3E1D">
        <w:rPr>
          <w:rFonts w:ascii="Verdana" w:eastAsia="Times New Roman" w:hAnsi="Verdana"/>
          <w:b/>
          <w:sz w:val="20"/>
          <w:szCs w:val="20"/>
        </w:rPr>
        <w:t>Training/In-Service</w:t>
      </w:r>
    </w:p>
    <w:p w:rsidR="000A3E1D" w:rsidRPr="000A3E1D" w:rsidRDefault="000A3E1D" w:rsidP="000A3E1D">
      <w:pPr>
        <w:jc w:val="both"/>
        <w:rPr>
          <w:rFonts w:ascii="Verdana" w:eastAsia="Times New Roman" w:hAnsi="Verdana"/>
          <w:sz w:val="20"/>
          <w:szCs w:val="20"/>
        </w:rPr>
      </w:pPr>
      <w:proofErr w:type="spellStart"/>
      <w:r w:rsidRPr="000A3E1D">
        <w:rPr>
          <w:rFonts w:ascii="Verdana" w:eastAsia="Times New Roman" w:hAnsi="Verdana"/>
          <w:sz w:val="20"/>
          <w:szCs w:val="20"/>
        </w:rPr>
        <w:t>Tusla</w:t>
      </w:r>
      <w:proofErr w:type="spellEnd"/>
      <w:r w:rsidRPr="000A3E1D">
        <w:rPr>
          <w:rFonts w:ascii="Verdana" w:eastAsia="Times New Roman" w:hAnsi="Verdana"/>
          <w:sz w:val="20"/>
          <w:szCs w:val="20"/>
        </w:rPr>
        <w:t xml:space="preserve"> has a (universal) online module which is accessible from its website. The Professional Development Service for Teachers (PDST) are providing some face to face in-service for DLPs and Deputy DLPs only and not for teachers. 900 schools can avail of a full day’s training between January and </w:t>
      </w:r>
      <w:r>
        <w:rPr>
          <w:rFonts w:ascii="Verdana" w:eastAsia="Times New Roman" w:hAnsi="Verdana"/>
          <w:sz w:val="20"/>
          <w:szCs w:val="20"/>
        </w:rPr>
        <w:t xml:space="preserve">11 </w:t>
      </w:r>
      <w:r w:rsidRPr="000A3E1D">
        <w:rPr>
          <w:rFonts w:ascii="Verdana" w:eastAsia="Times New Roman" w:hAnsi="Verdana"/>
          <w:sz w:val="20"/>
          <w:szCs w:val="20"/>
        </w:rPr>
        <w:t>March. The remainder of schools should be accommodated in the early part of the new school year. PDST hope to release an online module in February 2018, which will be tailored for schools. Schools will be permitted to close for two half-days to allow time to engage with procedures and to access online support modules.</w:t>
      </w:r>
    </w:p>
    <w:p w:rsidR="000A3E1D" w:rsidRPr="000A3E1D" w:rsidRDefault="000A3E1D" w:rsidP="000A3E1D">
      <w:pPr>
        <w:jc w:val="both"/>
        <w:rPr>
          <w:rFonts w:ascii="Verdana" w:eastAsia="Times New Roman" w:hAnsi="Verdana"/>
          <w:sz w:val="20"/>
          <w:szCs w:val="20"/>
        </w:rPr>
      </w:pPr>
    </w:p>
    <w:p w:rsidR="000A3E1D" w:rsidRPr="000A3E1D" w:rsidRDefault="000A3E1D" w:rsidP="000A3E1D">
      <w:pPr>
        <w:jc w:val="both"/>
        <w:rPr>
          <w:rFonts w:ascii="Verdana" w:eastAsia="Times New Roman" w:hAnsi="Verdana"/>
          <w:strike/>
          <w:sz w:val="20"/>
          <w:szCs w:val="20"/>
        </w:rPr>
      </w:pPr>
      <w:r w:rsidRPr="000A3E1D">
        <w:rPr>
          <w:rFonts w:ascii="Verdana" w:eastAsia="Times New Roman" w:hAnsi="Verdana"/>
          <w:sz w:val="20"/>
          <w:szCs w:val="20"/>
        </w:rPr>
        <w:t>IPPN will support school leaders in helping to embed the new procedures and encourages them to view and engage with the material as published on its website.</w:t>
      </w:r>
      <w:r w:rsidRPr="000A3E1D">
        <w:t xml:space="preserve"> </w:t>
      </w:r>
      <w:r>
        <w:t>IPPN w</w:t>
      </w:r>
      <w:bookmarkStart w:id="0" w:name="_GoBack"/>
      <w:bookmarkEnd w:id="0"/>
      <w:r w:rsidRPr="000A3E1D">
        <w:rPr>
          <w:rFonts w:ascii="Verdana" w:eastAsia="Times New Roman" w:hAnsi="Verdana"/>
          <w:sz w:val="20"/>
          <w:szCs w:val="20"/>
        </w:rPr>
        <w:t xml:space="preserve">ill publish a </w:t>
      </w:r>
      <w:r w:rsidRPr="000A3E1D">
        <w:rPr>
          <w:rFonts w:ascii="Verdana" w:eastAsia="Times New Roman" w:hAnsi="Verdana"/>
          <w:sz w:val="20"/>
          <w:szCs w:val="20"/>
        </w:rPr>
        <w:lastRenderedPageBreak/>
        <w:t>Resource Bundle on the topic of Child Protection early in the New Year.  It will reflect the implications of the full commencement of the Children First Act 2015, the Children First Guidelines 2017, changes to the DES Child Protection Procedures and the new DES Circular.</w:t>
      </w:r>
    </w:p>
    <w:sectPr w:rsidR="000A3E1D" w:rsidRPr="000A3E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1D" w:rsidRDefault="000A3E1D" w:rsidP="000A3E1D">
      <w:r>
        <w:separator/>
      </w:r>
    </w:p>
  </w:endnote>
  <w:endnote w:type="continuationSeparator" w:id="0">
    <w:p w:rsidR="000A3E1D" w:rsidRDefault="000A3E1D" w:rsidP="000A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1D" w:rsidRDefault="000A3E1D" w:rsidP="000A3E1D">
      <w:r>
        <w:separator/>
      </w:r>
    </w:p>
  </w:footnote>
  <w:footnote w:type="continuationSeparator" w:id="0">
    <w:p w:rsidR="000A3E1D" w:rsidRDefault="000A3E1D" w:rsidP="000A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1D" w:rsidRPr="000A3E1D" w:rsidRDefault="000A3E1D" w:rsidP="000A3E1D">
    <w:pPr>
      <w:jc w:val="center"/>
      <w:rPr>
        <w:rFonts w:ascii="Verdana" w:eastAsia="Times New Roman" w:hAnsi="Verdana"/>
        <w:b/>
        <w:sz w:val="28"/>
        <w:szCs w:val="28"/>
      </w:rPr>
    </w:pPr>
    <w:r w:rsidRPr="000A3E1D">
      <w:rPr>
        <w:rFonts w:ascii="Verdana" w:eastAsia="Times New Roman" w:hAnsi="Verdana"/>
        <w:b/>
        <w:sz w:val="28"/>
        <w:szCs w:val="28"/>
      </w:rPr>
      <w:t>Child Protection Procedures for Primary and Post Primary Schools 2017</w:t>
    </w:r>
  </w:p>
  <w:p w:rsidR="000A3E1D" w:rsidRPr="000A3E1D" w:rsidRDefault="000A3E1D" w:rsidP="000A3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1258"/>
    <w:multiLevelType w:val="hybridMultilevel"/>
    <w:tmpl w:val="F6E8AA90"/>
    <w:lvl w:ilvl="0" w:tplc="0809000F">
      <w:start w:val="1"/>
      <w:numFmt w:val="decimal"/>
      <w:lvlText w:val="%1."/>
      <w:lvlJc w:val="left"/>
      <w:pPr>
        <w:ind w:left="720" w:hanging="360"/>
      </w:pPr>
    </w:lvl>
    <w:lvl w:ilvl="1" w:tplc="C8168BFA">
      <w:start w:val="1"/>
      <w:numFmt w:val="decimal"/>
      <w:lvlText w:val="(%2)"/>
      <w:lvlJc w:val="left"/>
      <w:pPr>
        <w:ind w:left="1440" w:hanging="360"/>
      </w:pPr>
      <w:rPr>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D890B06"/>
    <w:multiLevelType w:val="multilevel"/>
    <w:tmpl w:val="1AB61A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909601F"/>
    <w:multiLevelType w:val="hybridMultilevel"/>
    <w:tmpl w:val="C0809FD8"/>
    <w:lvl w:ilvl="0" w:tplc="0809000F">
      <w:start w:val="1"/>
      <w:numFmt w:val="decimal"/>
      <w:lvlText w:val="%1."/>
      <w:lvlJc w:val="left"/>
      <w:pPr>
        <w:ind w:left="360" w:hanging="360"/>
      </w:pPr>
    </w:lvl>
    <w:lvl w:ilvl="1" w:tplc="C8168BFA">
      <w:start w:val="1"/>
      <w:numFmt w:val="decimal"/>
      <w:lvlText w:val="(%2)"/>
      <w:lvlJc w:val="left"/>
      <w:pPr>
        <w:ind w:left="1080" w:hanging="360"/>
      </w:pPr>
      <w:rPr>
        <w:color w:val="auto"/>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4B302966"/>
    <w:multiLevelType w:val="hybridMultilevel"/>
    <w:tmpl w:val="E52C7F9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9A70816"/>
    <w:multiLevelType w:val="hybridMultilevel"/>
    <w:tmpl w:val="BA4682C2"/>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1D"/>
    <w:rsid w:val="000A3E1D"/>
    <w:rsid w:val="002635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88E45-4642-4ABB-800B-703903BC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E1D"/>
    <w:pPr>
      <w:spacing w:after="200" w:line="276" w:lineRule="auto"/>
      <w:ind w:left="720"/>
      <w:contextualSpacing/>
    </w:pPr>
  </w:style>
  <w:style w:type="paragraph" w:styleId="Header">
    <w:name w:val="header"/>
    <w:basedOn w:val="Normal"/>
    <w:link w:val="HeaderChar"/>
    <w:uiPriority w:val="99"/>
    <w:unhideWhenUsed/>
    <w:rsid w:val="000A3E1D"/>
    <w:pPr>
      <w:tabs>
        <w:tab w:val="center" w:pos="4513"/>
        <w:tab w:val="right" w:pos="9026"/>
      </w:tabs>
    </w:pPr>
  </w:style>
  <w:style w:type="character" w:customStyle="1" w:styleId="HeaderChar">
    <w:name w:val="Header Char"/>
    <w:basedOn w:val="DefaultParagraphFont"/>
    <w:link w:val="Header"/>
    <w:uiPriority w:val="99"/>
    <w:rsid w:val="000A3E1D"/>
    <w:rPr>
      <w:rFonts w:ascii="Calibri" w:hAnsi="Calibri" w:cs="Times New Roman"/>
    </w:rPr>
  </w:style>
  <w:style w:type="paragraph" w:styleId="Footer">
    <w:name w:val="footer"/>
    <w:basedOn w:val="Normal"/>
    <w:link w:val="FooterChar"/>
    <w:uiPriority w:val="99"/>
    <w:unhideWhenUsed/>
    <w:rsid w:val="000A3E1D"/>
    <w:pPr>
      <w:tabs>
        <w:tab w:val="center" w:pos="4513"/>
        <w:tab w:val="right" w:pos="9026"/>
      </w:tabs>
    </w:pPr>
  </w:style>
  <w:style w:type="character" w:customStyle="1" w:styleId="FooterChar">
    <w:name w:val="Footer Char"/>
    <w:basedOn w:val="DefaultParagraphFont"/>
    <w:link w:val="Footer"/>
    <w:uiPriority w:val="99"/>
    <w:rsid w:val="000A3E1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Hallahan</dc:creator>
  <cp:keywords/>
  <dc:description/>
  <cp:lastModifiedBy>Rachel Hallahan</cp:lastModifiedBy>
  <cp:revision>1</cp:revision>
  <dcterms:created xsi:type="dcterms:W3CDTF">2017-12-14T13:24:00Z</dcterms:created>
  <dcterms:modified xsi:type="dcterms:W3CDTF">2017-12-14T13:28:00Z</dcterms:modified>
</cp:coreProperties>
</file>