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0AD2CAE6" w14:textId="1E459B04" w:rsidR="00560EB9" w:rsidRDefault="00DE4F21" w:rsidP="00DD30AD">
      <w:pPr>
        <w:pStyle w:val="Title"/>
        <w:rPr>
          <w:lang w:val="en-IE"/>
        </w:rPr>
      </w:pPr>
      <w:bookmarkStart w:id="0" w:name="_GoBack"/>
      <w:bookmarkEnd w:id="0"/>
      <w:r>
        <w:rPr>
          <w:lang w:val="en-IE"/>
        </w:rPr>
        <w:t>Guidance on C</w:t>
      </w:r>
      <w:r w:rsidR="00BA75A8">
        <w:rPr>
          <w:lang w:val="en-IE"/>
        </w:rPr>
        <w:t>ontract and Employment Issues in the Education Sector arising from COVID_19</w:t>
      </w:r>
    </w:p>
    <w:p w14:paraId="53431A67" w14:textId="77777777" w:rsidR="001F5665" w:rsidRPr="001F5665" w:rsidRDefault="001F5665" w:rsidP="00DD30AD"/>
    <w:p w14:paraId="5058B26A" w14:textId="77777777" w:rsidR="00DE4F21" w:rsidRDefault="00DE4F21" w:rsidP="00DD30AD"/>
    <w:p w14:paraId="75C173E8" w14:textId="77777777" w:rsidR="00DE4F21" w:rsidRDefault="00DE4F21" w:rsidP="00DD30AD"/>
    <w:p w14:paraId="19887E99" w14:textId="77777777" w:rsidR="00DE4F21" w:rsidRDefault="00DE4F21" w:rsidP="00DD30AD"/>
    <w:p w14:paraId="246D7C0A" w14:textId="77777777" w:rsidR="00DE4F21" w:rsidRDefault="00DE4F21" w:rsidP="00DD30AD"/>
    <w:p w14:paraId="173C57EA" w14:textId="77777777" w:rsidR="00DE4F21" w:rsidRDefault="00DE4F21" w:rsidP="00DD30AD"/>
    <w:p w14:paraId="01055C0B" w14:textId="77777777" w:rsidR="00DE4F21" w:rsidRDefault="00DE4F21" w:rsidP="00DD30AD"/>
    <w:p w14:paraId="45A8AFAB" w14:textId="77777777" w:rsidR="00DE4F21" w:rsidRDefault="00DE4F21" w:rsidP="00DD30AD"/>
    <w:p w14:paraId="73680A43" w14:textId="77777777" w:rsidR="00DE4F21" w:rsidRDefault="00DE4F21" w:rsidP="00DD30AD"/>
    <w:p w14:paraId="795E9B28" w14:textId="77777777" w:rsidR="00DE4F21" w:rsidRDefault="00DE4F21" w:rsidP="00DD30AD"/>
    <w:p w14:paraId="3D73403F" w14:textId="77777777" w:rsidR="00DE4F21" w:rsidRDefault="00DE4F21" w:rsidP="00DD30AD"/>
    <w:p w14:paraId="09748E53" w14:textId="77777777" w:rsidR="00DE4F21" w:rsidRDefault="00DE4F21" w:rsidP="00DD30AD"/>
    <w:p w14:paraId="5784CD09" w14:textId="77777777" w:rsidR="00DE4F21" w:rsidRDefault="00DE4F21" w:rsidP="00DD30AD"/>
    <w:p w14:paraId="1CBAA5AB" w14:textId="77777777" w:rsidR="00DE4F21" w:rsidRDefault="00DE4F21" w:rsidP="00DD30AD"/>
    <w:p w14:paraId="3F724AF7" w14:textId="77777777" w:rsidR="00DE4F21" w:rsidRDefault="00DE4F21" w:rsidP="00DD30AD"/>
    <w:p w14:paraId="1EB2C843" w14:textId="77777777" w:rsidR="00DE4F21" w:rsidRDefault="00DE4F21" w:rsidP="00DD30AD"/>
    <w:p w14:paraId="74396D1D" w14:textId="77777777" w:rsidR="00BA75A8" w:rsidRDefault="00BA75A8" w:rsidP="00BA75A8">
      <w:pPr>
        <w:spacing w:line="276" w:lineRule="auto"/>
      </w:pPr>
    </w:p>
    <w:p w14:paraId="5A1BDC3B" w14:textId="77777777" w:rsidR="00BA75A8" w:rsidRDefault="00BA75A8" w:rsidP="00BA75A8">
      <w:pPr>
        <w:spacing w:line="276" w:lineRule="auto"/>
      </w:pPr>
    </w:p>
    <w:p w14:paraId="1184B36F" w14:textId="77777777" w:rsidR="00BA75A8" w:rsidRPr="00970D21" w:rsidRDefault="00BA75A8" w:rsidP="00BA75A8">
      <w:pPr>
        <w:spacing w:line="276" w:lineRule="auto"/>
        <w:rPr>
          <w:rFonts w:ascii="Times New Roman" w:hAnsi="Times New Roman" w:cs="Times New Roman"/>
          <w:b/>
          <w:sz w:val="24"/>
          <w:szCs w:val="24"/>
          <w:u w:val="single"/>
        </w:rPr>
      </w:pPr>
      <w:r w:rsidRPr="00970D21">
        <w:rPr>
          <w:rFonts w:ascii="Times New Roman" w:hAnsi="Times New Roman" w:cs="Times New Roman"/>
          <w:b/>
          <w:sz w:val="24"/>
          <w:szCs w:val="24"/>
          <w:u w:val="single"/>
        </w:rPr>
        <w:t>Background:</w:t>
      </w:r>
    </w:p>
    <w:p w14:paraId="163ED0D8" w14:textId="1C37DFBD" w:rsidR="00BA75A8" w:rsidRDefault="00BA75A8" w:rsidP="00BA75A8">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There are a number of </w:t>
      </w:r>
      <w:proofErr w:type="spellStart"/>
      <w:r>
        <w:rPr>
          <w:rFonts w:ascii="Times New Roman" w:hAnsi="Times New Roman" w:cs="Times New Roman"/>
          <w:sz w:val="24"/>
          <w:szCs w:val="24"/>
        </w:rPr>
        <w:t>organisations</w:t>
      </w:r>
      <w:proofErr w:type="spellEnd"/>
      <w:r>
        <w:rPr>
          <w:rFonts w:ascii="Times New Roman" w:hAnsi="Times New Roman" w:cs="Times New Roman"/>
          <w:sz w:val="24"/>
          <w:szCs w:val="24"/>
        </w:rPr>
        <w:t xml:space="preserve"> in the education and skills sector who, in addition to receiving funding directly from th</w:t>
      </w:r>
      <w:r w:rsidR="000D6ACD">
        <w:rPr>
          <w:rFonts w:ascii="Times New Roman" w:hAnsi="Times New Roman" w:cs="Times New Roman"/>
          <w:sz w:val="24"/>
          <w:szCs w:val="24"/>
        </w:rPr>
        <w:t>e</w:t>
      </w:r>
      <w:r>
        <w:rPr>
          <w:rFonts w:ascii="Times New Roman" w:hAnsi="Times New Roman" w:cs="Times New Roman"/>
          <w:sz w:val="24"/>
          <w:szCs w:val="24"/>
        </w:rPr>
        <w:t xml:space="preserve"> Department</w:t>
      </w:r>
      <w:r w:rsidR="000D6ACD">
        <w:rPr>
          <w:rFonts w:ascii="Times New Roman" w:hAnsi="Times New Roman" w:cs="Times New Roman"/>
          <w:sz w:val="24"/>
          <w:szCs w:val="24"/>
        </w:rPr>
        <w:t xml:space="preserve"> of Education and Skills (DES)</w:t>
      </w:r>
      <w:r>
        <w:rPr>
          <w:rFonts w:ascii="Times New Roman" w:hAnsi="Times New Roman" w:cs="Times New Roman"/>
          <w:sz w:val="24"/>
          <w:szCs w:val="24"/>
        </w:rPr>
        <w:t>, are also in receipt of DES funding indirectly through DES aegis bodies (e.g. SOLAS, HEA)</w:t>
      </w:r>
      <w:r w:rsidR="000D6ACD">
        <w:rPr>
          <w:rFonts w:ascii="Times New Roman" w:hAnsi="Times New Roman" w:cs="Times New Roman"/>
          <w:sz w:val="24"/>
          <w:szCs w:val="24"/>
        </w:rPr>
        <w:t xml:space="preserve">. They may also receive funding </w:t>
      </w:r>
      <w:r>
        <w:rPr>
          <w:rFonts w:ascii="Times New Roman" w:hAnsi="Times New Roman" w:cs="Times New Roman"/>
          <w:sz w:val="24"/>
          <w:szCs w:val="24"/>
        </w:rPr>
        <w:t xml:space="preserve">from other Departments </w:t>
      </w:r>
      <w:r w:rsidR="000D6ACD">
        <w:rPr>
          <w:rFonts w:ascii="Times New Roman" w:hAnsi="Times New Roman" w:cs="Times New Roman"/>
          <w:sz w:val="24"/>
          <w:szCs w:val="24"/>
        </w:rPr>
        <w:t xml:space="preserve">and/or </w:t>
      </w:r>
      <w:r>
        <w:rPr>
          <w:rFonts w:ascii="Times New Roman" w:hAnsi="Times New Roman" w:cs="Times New Roman"/>
          <w:sz w:val="24"/>
          <w:szCs w:val="24"/>
        </w:rPr>
        <w:t xml:space="preserve">EU funding </w:t>
      </w:r>
      <w:r w:rsidR="000D6ACD">
        <w:rPr>
          <w:rFonts w:ascii="Times New Roman" w:hAnsi="Times New Roman" w:cs="Times New Roman"/>
          <w:sz w:val="24"/>
          <w:szCs w:val="24"/>
        </w:rPr>
        <w:t xml:space="preserve">as well as </w:t>
      </w:r>
      <w:r>
        <w:rPr>
          <w:rFonts w:ascii="Times New Roman" w:hAnsi="Times New Roman" w:cs="Times New Roman"/>
          <w:sz w:val="24"/>
          <w:szCs w:val="24"/>
        </w:rPr>
        <w:t xml:space="preserve">undertaking self-financing projects and other fund raising activities. The variety of areas in which these </w:t>
      </w:r>
      <w:proofErr w:type="spellStart"/>
      <w:r>
        <w:rPr>
          <w:rFonts w:ascii="Times New Roman" w:hAnsi="Times New Roman" w:cs="Times New Roman"/>
          <w:sz w:val="24"/>
          <w:szCs w:val="24"/>
        </w:rPr>
        <w:t>organisations</w:t>
      </w:r>
      <w:proofErr w:type="spellEnd"/>
      <w:r>
        <w:rPr>
          <w:rFonts w:ascii="Times New Roman" w:hAnsi="Times New Roman" w:cs="Times New Roman"/>
          <w:sz w:val="24"/>
          <w:szCs w:val="24"/>
        </w:rPr>
        <w:t xml:space="preserve"> operate means that there are likely to be complexities to the staffing and contractual arrangements entered into over the years. </w:t>
      </w:r>
    </w:p>
    <w:p w14:paraId="35530BEB" w14:textId="77777777" w:rsidR="00BA75A8" w:rsidRPr="00970D21" w:rsidRDefault="00BA75A8" w:rsidP="00BA75A8">
      <w:pPr>
        <w:spacing w:line="276" w:lineRule="auto"/>
        <w:rPr>
          <w:rFonts w:ascii="Times New Roman" w:hAnsi="Times New Roman" w:cs="Times New Roman"/>
          <w:b/>
          <w:sz w:val="24"/>
          <w:szCs w:val="24"/>
          <w:u w:val="single"/>
        </w:rPr>
      </w:pPr>
      <w:r w:rsidRPr="00970D21">
        <w:rPr>
          <w:rFonts w:ascii="Times New Roman" w:hAnsi="Times New Roman" w:cs="Times New Roman"/>
          <w:b/>
          <w:sz w:val="24"/>
          <w:szCs w:val="24"/>
          <w:u w:val="single"/>
        </w:rPr>
        <w:t>Purpose of this Note:</w:t>
      </w:r>
    </w:p>
    <w:p w14:paraId="7FA338F4" w14:textId="30B7C8D3" w:rsidR="00BA75A8" w:rsidRDefault="00BA75A8" w:rsidP="00BA75A8">
      <w:pPr>
        <w:spacing w:line="276" w:lineRule="auto"/>
        <w:jc w:val="both"/>
        <w:rPr>
          <w:rFonts w:ascii="Times New Roman" w:hAnsi="Times New Roman" w:cs="Times New Roman"/>
          <w:sz w:val="24"/>
          <w:szCs w:val="24"/>
        </w:rPr>
      </w:pPr>
      <w:r>
        <w:rPr>
          <w:rFonts w:ascii="Times New Roman" w:hAnsi="Times New Roman" w:cs="Times New Roman"/>
          <w:sz w:val="24"/>
          <w:szCs w:val="24"/>
        </w:rPr>
        <w:t>This note set</w:t>
      </w:r>
      <w:r w:rsidR="00837D79">
        <w:rPr>
          <w:rFonts w:ascii="Times New Roman" w:hAnsi="Times New Roman" w:cs="Times New Roman"/>
          <w:sz w:val="24"/>
          <w:szCs w:val="24"/>
        </w:rPr>
        <w:t>s</w:t>
      </w:r>
      <w:r>
        <w:rPr>
          <w:rFonts w:ascii="Times New Roman" w:hAnsi="Times New Roman" w:cs="Times New Roman"/>
          <w:sz w:val="24"/>
          <w:szCs w:val="24"/>
        </w:rPr>
        <w:t xml:space="preserve"> out some guiding principles to address contractual and employment issues in the education sector arising due to COVID-19. </w:t>
      </w:r>
    </w:p>
    <w:p w14:paraId="07A2F52F" w14:textId="268F119B" w:rsidR="00BA75A8" w:rsidRDefault="00BA75A8" w:rsidP="00BA75A8">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It </w:t>
      </w:r>
      <w:r w:rsidR="00837D79">
        <w:rPr>
          <w:rFonts w:ascii="Times New Roman" w:hAnsi="Times New Roman" w:cs="Times New Roman"/>
          <w:sz w:val="24"/>
          <w:szCs w:val="24"/>
        </w:rPr>
        <w:t xml:space="preserve">also </w:t>
      </w:r>
      <w:r>
        <w:rPr>
          <w:rFonts w:ascii="Times New Roman" w:hAnsi="Times New Roman" w:cs="Times New Roman"/>
          <w:sz w:val="24"/>
          <w:szCs w:val="24"/>
        </w:rPr>
        <w:t>sets out</w:t>
      </w:r>
      <w:r w:rsidRPr="003C6EF9">
        <w:rPr>
          <w:rFonts w:ascii="Times New Roman" w:hAnsi="Times New Roman" w:cs="Times New Roman"/>
          <w:sz w:val="24"/>
          <w:szCs w:val="24"/>
        </w:rPr>
        <w:t xml:space="preserve"> some of the challenges </w:t>
      </w:r>
      <w:r>
        <w:rPr>
          <w:rFonts w:ascii="Times New Roman" w:hAnsi="Times New Roman" w:cs="Times New Roman"/>
          <w:sz w:val="24"/>
          <w:szCs w:val="24"/>
        </w:rPr>
        <w:t xml:space="preserve">which have been identified with a framework for possible solutions </w:t>
      </w:r>
      <w:r w:rsidR="00837D79">
        <w:rPr>
          <w:rFonts w:ascii="Times New Roman" w:hAnsi="Times New Roman" w:cs="Times New Roman"/>
          <w:sz w:val="24"/>
          <w:szCs w:val="24"/>
        </w:rPr>
        <w:t xml:space="preserve">that </w:t>
      </w:r>
      <w:r>
        <w:rPr>
          <w:rFonts w:ascii="Times New Roman" w:hAnsi="Times New Roman" w:cs="Times New Roman"/>
          <w:sz w:val="24"/>
          <w:szCs w:val="24"/>
        </w:rPr>
        <w:t xml:space="preserve">can be implemented in a manner which allows for consistency of practice across the </w:t>
      </w:r>
      <w:r w:rsidR="00837D79">
        <w:rPr>
          <w:rFonts w:ascii="Times New Roman" w:hAnsi="Times New Roman" w:cs="Times New Roman"/>
          <w:sz w:val="24"/>
          <w:szCs w:val="24"/>
        </w:rPr>
        <w:t xml:space="preserve">sector. By working closely with </w:t>
      </w:r>
      <w:r w:rsidR="000D6ACD">
        <w:rPr>
          <w:rFonts w:ascii="Times New Roman" w:hAnsi="Times New Roman" w:cs="Times New Roman"/>
          <w:sz w:val="24"/>
          <w:szCs w:val="24"/>
        </w:rPr>
        <w:t>employers/</w:t>
      </w:r>
      <w:r w:rsidR="00837D79">
        <w:rPr>
          <w:rFonts w:ascii="Times New Roman" w:hAnsi="Times New Roman" w:cs="Times New Roman"/>
          <w:sz w:val="24"/>
          <w:szCs w:val="24"/>
        </w:rPr>
        <w:t xml:space="preserve">management bodies it </w:t>
      </w:r>
      <w:r>
        <w:rPr>
          <w:rFonts w:ascii="Times New Roman" w:hAnsi="Times New Roman" w:cs="Times New Roman"/>
          <w:sz w:val="24"/>
          <w:szCs w:val="24"/>
        </w:rPr>
        <w:t>allows the Department to fully understand and explore the financial, contractual and IR implications of any decisions which may be taken</w:t>
      </w:r>
      <w:r w:rsidR="00837D79">
        <w:rPr>
          <w:rFonts w:ascii="Times New Roman" w:hAnsi="Times New Roman" w:cs="Times New Roman"/>
          <w:sz w:val="24"/>
          <w:szCs w:val="24"/>
        </w:rPr>
        <w:t xml:space="preserve"> in the sector</w:t>
      </w:r>
      <w:r>
        <w:rPr>
          <w:rFonts w:ascii="Times New Roman" w:hAnsi="Times New Roman" w:cs="Times New Roman"/>
          <w:sz w:val="24"/>
          <w:szCs w:val="24"/>
        </w:rPr>
        <w:t xml:space="preserve">. </w:t>
      </w:r>
    </w:p>
    <w:p w14:paraId="11A4CC71" w14:textId="77777777" w:rsidR="00BA75A8" w:rsidRPr="003C6EF9" w:rsidRDefault="00BA75A8" w:rsidP="00BA75A8">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The issues can be broken into two distinct groups: </w:t>
      </w:r>
    </w:p>
    <w:p w14:paraId="141C30C7" w14:textId="77777777" w:rsidR="00BA75A8" w:rsidRDefault="00BA75A8" w:rsidP="00BA75A8">
      <w:pPr>
        <w:pStyle w:val="ListParagraph"/>
        <w:numPr>
          <w:ilvl w:val="0"/>
          <w:numId w:val="41"/>
        </w:numPr>
        <w:spacing w:line="276" w:lineRule="auto"/>
        <w:jc w:val="both"/>
        <w:rPr>
          <w:rFonts w:ascii="Times New Roman" w:hAnsi="Times New Roman"/>
          <w:sz w:val="24"/>
          <w:szCs w:val="24"/>
        </w:rPr>
      </w:pPr>
      <w:r>
        <w:rPr>
          <w:rFonts w:ascii="Times New Roman" w:hAnsi="Times New Roman"/>
          <w:sz w:val="24"/>
          <w:szCs w:val="24"/>
        </w:rPr>
        <w:t xml:space="preserve">Implications for </w:t>
      </w:r>
      <w:r w:rsidRPr="00EA2C05">
        <w:rPr>
          <w:rFonts w:ascii="Times New Roman" w:hAnsi="Times New Roman"/>
          <w:sz w:val="24"/>
          <w:szCs w:val="24"/>
        </w:rPr>
        <w:t>contracts for service</w:t>
      </w:r>
      <w:r>
        <w:rPr>
          <w:rFonts w:ascii="Times New Roman" w:hAnsi="Times New Roman"/>
          <w:sz w:val="24"/>
          <w:szCs w:val="24"/>
        </w:rPr>
        <w:t>;</w:t>
      </w:r>
    </w:p>
    <w:p w14:paraId="1888044F" w14:textId="77777777" w:rsidR="00BA75A8" w:rsidRDefault="00BA75A8" w:rsidP="00BA75A8">
      <w:pPr>
        <w:pStyle w:val="ListParagraph"/>
        <w:numPr>
          <w:ilvl w:val="0"/>
          <w:numId w:val="41"/>
        </w:numPr>
        <w:spacing w:line="276" w:lineRule="auto"/>
        <w:jc w:val="both"/>
        <w:rPr>
          <w:rFonts w:ascii="Times New Roman" w:hAnsi="Times New Roman"/>
          <w:sz w:val="24"/>
          <w:szCs w:val="24"/>
        </w:rPr>
      </w:pPr>
      <w:r>
        <w:rPr>
          <w:rFonts w:ascii="Times New Roman" w:hAnsi="Times New Roman"/>
          <w:sz w:val="24"/>
          <w:szCs w:val="24"/>
        </w:rPr>
        <w:t xml:space="preserve">Implications for contracts of service, especially in relation to employees of public sector bodies (incl. schools and HEIs) who, for various reasons, are not categorised as public servants. </w:t>
      </w:r>
    </w:p>
    <w:p w14:paraId="415E3457" w14:textId="0FA51EE7" w:rsidR="00BA75A8" w:rsidRDefault="00BA75A8" w:rsidP="00BA75A8">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The </w:t>
      </w:r>
      <w:r w:rsidR="000D6ACD">
        <w:rPr>
          <w:rFonts w:ascii="Times New Roman" w:hAnsi="Times New Roman" w:cs="Times New Roman"/>
          <w:sz w:val="24"/>
          <w:szCs w:val="24"/>
        </w:rPr>
        <w:t>options i</w:t>
      </w:r>
      <w:r>
        <w:rPr>
          <w:rFonts w:ascii="Times New Roman" w:hAnsi="Times New Roman" w:cs="Times New Roman"/>
          <w:sz w:val="24"/>
          <w:szCs w:val="24"/>
        </w:rPr>
        <w:t>dentified below may not provide answers in all cases as they arise in the sector but they form a template for identifying how to manage issues as th</w:t>
      </w:r>
      <w:r w:rsidR="00837D79">
        <w:rPr>
          <w:rFonts w:ascii="Times New Roman" w:hAnsi="Times New Roman" w:cs="Times New Roman"/>
          <w:sz w:val="24"/>
          <w:szCs w:val="24"/>
        </w:rPr>
        <w:t xml:space="preserve">ey are brought to the attention of the Department. </w:t>
      </w:r>
    </w:p>
    <w:p w14:paraId="185E86F3" w14:textId="5D59D426" w:rsidR="00837D79" w:rsidRPr="000D6ACD" w:rsidRDefault="000D6ACD" w:rsidP="00BA75A8">
      <w:pPr>
        <w:spacing w:line="276" w:lineRule="auto"/>
        <w:jc w:val="both"/>
        <w:rPr>
          <w:rFonts w:ascii="Times New Roman" w:hAnsi="Times New Roman" w:cs="Times New Roman"/>
          <w:sz w:val="24"/>
          <w:szCs w:val="24"/>
          <w:u w:val="single"/>
        </w:rPr>
      </w:pPr>
      <w:r w:rsidRPr="000D6ACD">
        <w:rPr>
          <w:rFonts w:ascii="Times New Roman" w:hAnsi="Times New Roman" w:cs="Times New Roman"/>
          <w:sz w:val="24"/>
          <w:szCs w:val="24"/>
          <w:u w:val="single"/>
        </w:rPr>
        <w:t>Employers/ma</w:t>
      </w:r>
      <w:r w:rsidR="00837D79" w:rsidRPr="000D6ACD">
        <w:rPr>
          <w:rFonts w:ascii="Times New Roman" w:hAnsi="Times New Roman" w:cs="Times New Roman"/>
          <w:sz w:val="24"/>
          <w:szCs w:val="24"/>
          <w:u w:val="single"/>
        </w:rPr>
        <w:t>nagement bodies are therefore reminded to liaise with the relevant line sections of the Department for guidance on complex issues.</w:t>
      </w:r>
    </w:p>
    <w:p w14:paraId="560AB7C9" w14:textId="4261C81A" w:rsidR="00BA75A8" w:rsidRDefault="00837D79" w:rsidP="00BA75A8">
      <w:pPr>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I</w:t>
      </w:r>
      <w:r w:rsidR="00BA75A8">
        <w:rPr>
          <w:rFonts w:ascii="Times New Roman" w:hAnsi="Times New Roman" w:cs="Times New Roman"/>
          <w:sz w:val="24"/>
          <w:szCs w:val="24"/>
        </w:rPr>
        <w:t xml:space="preserve">t is important that </w:t>
      </w:r>
      <w:r w:rsidR="000D6ACD">
        <w:rPr>
          <w:rFonts w:ascii="Times New Roman" w:hAnsi="Times New Roman" w:cs="Times New Roman"/>
          <w:sz w:val="24"/>
          <w:szCs w:val="24"/>
        </w:rPr>
        <w:t>employers/m</w:t>
      </w:r>
      <w:r>
        <w:rPr>
          <w:rFonts w:ascii="Times New Roman" w:hAnsi="Times New Roman" w:cs="Times New Roman"/>
          <w:sz w:val="24"/>
          <w:szCs w:val="24"/>
        </w:rPr>
        <w:t xml:space="preserve">anagement bodies seek </w:t>
      </w:r>
      <w:r w:rsidR="00BA75A8">
        <w:rPr>
          <w:rFonts w:ascii="Times New Roman" w:hAnsi="Times New Roman" w:cs="Times New Roman"/>
          <w:sz w:val="24"/>
          <w:szCs w:val="24"/>
        </w:rPr>
        <w:t>appropriate l</w:t>
      </w:r>
      <w:r w:rsidR="00BA75A8" w:rsidRPr="003C6EF9">
        <w:rPr>
          <w:rFonts w:ascii="Times New Roman" w:hAnsi="Times New Roman" w:cs="Times New Roman"/>
          <w:sz w:val="24"/>
          <w:szCs w:val="24"/>
        </w:rPr>
        <w:t>e</w:t>
      </w:r>
      <w:r w:rsidR="00BA75A8">
        <w:rPr>
          <w:rFonts w:ascii="Times New Roman" w:hAnsi="Times New Roman" w:cs="Times New Roman"/>
          <w:sz w:val="24"/>
          <w:szCs w:val="24"/>
        </w:rPr>
        <w:t xml:space="preserve">gal advice for complex cases and that </w:t>
      </w:r>
      <w:r w:rsidR="00BA75A8" w:rsidRPr="008A5837">
        <w:rPr>
          <w:rFonts w:ascii="Times New Roman" w:hAnsi="Times New Roman" w:cs="Times New Roman"/>
          <w:sz w:val="24"/>
          <w:szCs w:val="24"/>
        </w:rPr>
        <w:t xml:space="preserve">any decisions </w:t>
      </w:r>
      <w:r w:rsidR="00BA75A8">
        <w:rPr>
          <w:rFonts w:ascii="Times New Roman" w:hAnsi="Times New Roman" w:cs="Times New Roman"/>
          <w:sz w:val="24"/>
          <w:szCs w:val="24"/>
        </w:rPr>
        <w:t xml:space="preserve">taken </w:t>
      </w:r>
      <w:r w:rsidR="000D6ACD">
        <w:rPr>
          <w:rFonts w:ascii="Times New Roman" w:hAnsi="Times New Roman" w:cs="Times New Roman"/>
          <w:sz w:val="24"/>
          <w:szCs w:val="24"/>
        </w:rPr>
        <w:t xml:space="preserve">which have a funding impact </w:t>
      </w:r>
      <w:r w:rsidR="00BA75A8" w:rsidRPr="008A5837">
        <w:rPr>
          <w:rFonts w:ascii="Times New Roman" w:hAnsi="Times New Roman" w:cs="Times New Roman"/>
          <w:sz w:val="24"/>
          <w:szCs w:val="24"/>
        </w:rPr>
        <w:t>should also be communicated and/or agreed with other funding partners</w:t>
      </w:r>
      <w:r>
        <w:rPr>
          <w:rFonts w:ascii="Times New Roman" w:hAnsi="Times New Roman" w:cs="Times New Roman"/>
          <w:sz w:val="24"/>
          <w:szCs w:val="24"/>
        </w:rPr>
        <w:t xml:space="preserve">, as appropriate. </w:t>
      </w:r>
    </w:p>
    <w:p w14:paraId="17BD500F" w14:textId="77777777" w:rsidR="005E4AC2" w:rsidRDefault="005E4AC2" w:rsidP="00BA75A8">
      <w:pPr>
        <w:spacing w:line="276" w:lineRule="auto"/>
        <w:jc w:val="both"/>
        <w:rPr>
          <w:rFonts w:ascii="Times New Roman" w:hAnsi="Times New Roman" w:cs="Times New Roman"/>
          <w:sz w:val="24"/>
          <w:szCs w:val="24"/>
        </w:rPr>
      </w:pPr>
    </w:p>
    <w:p w14:paraId="41071B35" w14:textId="77777777" w:rsidR="005E4AC2" w:rsidRDefault="005E4AC2" w:rsidP="005E4AC2">
      <w:pPr>
        <w:pStyle w:val="ListParagraph"/>
        <w:numPr>
          <w:ilvl w:val="0"/>
          <w:numId w:val="43"/>
        </w:numPr>
        <w:spacing w:after="270" w:line="276" w:lineRule="auto"/>
        <w:ind w:left="426"/>
        <w:rPr>
          <w:rFonts w:ascii="Times New Roman" w:hAnsi="Times New Roman"/>
          <w:b/>
          <w:sz w:val="24"/>
          <w:szCs w:val="24"/>
          <w:u w:val="single"/>
        </w:rPr>
      </w:pPr>
      <w:r w:rsidRPr="00EF2B81">
        <w:rPr>
          <w:rFonts w:ascii="Times New Roman" w:hAnsi="Times New Roman"/>
          <w:b/>
          <w:sz w:val="24"/>
          <w:szCs w:val="24"/>
          <w:u w:val="single"/>
        </w:rPr>
        <w:t>Contracts for service</w:t>
      </w:r>
      <w:r>
        <w:rPr>
          <w:rStyle w:val="FootnoteReference"/>
          <w:rFonts w:ascii="Times New Roman" w:eastAsiaTheme="majorEastAsia" w:hAnsi="Times New Roman"/>
          <w:sz w:val="24"/>
          <w:szCs w:val="24"/>
          <w:u w:val="single"/>
        </w:rPr>
        <w:footnoteReference w:id="1"/>
      </w:r>
    </w:p>
    <w:p w14:paraId="48AB9692" w14:textId="77777777" w:rsidR="005E4AC2" w:rsidRPr="00C724A2" w:rsidRDefault="005E4AC2" w:rsidP="005E4AC2">
      <w:pPr>
        <w:spacing w:line="276" w:lineRule="auto"/>
        <w:jc w:val="both"/>
        <w:rPr>
          <w:rFonts w:ascii="Times New Roman" w:hAnsi="Times New Roman" w:cs="Times New Roman"/>
          <w:sz w:val="24"/>
          <w:szCs w:val="24"/>
        </w:rPr>
      </w:pPr>
      <w:r>
        <w:rPr>
          <w:rFonts w:ascii="Times New Roman" w:hAnsi="Times New Roman" w:cs="Times New Roman"/>
          <w:sz w:val="24"/>
          <w:szCs w:val="24"/>
        </w:rPr>
        <w:t>The key issue here is whether or not the contractor is providing the contracted service and whether or not the contracting authority can avail of the service in line with the contract. The following applicable points should be considered</w:t>
      </w:r>
      <w:r w:rsidRPr="00C724A2">
        <w:rPr>
          <w:rFonts w:ascii="Times New Roman" w:hAnsi="Times New Roman" w:cs="Times New Roman"/>
          <w:sz w:val="24"/>
          <w:szCs w:val="24"/>
        </w:rPr>
        <w:t xml:space="preserve">. </w:t>
      </w:r>
    </w:p>
    <w:p w14:paraId="464ED0DB" w14:textId="77777777" w:rsidR="005E4AC2" w:rsidRPr="00FF1972" w:rsidRDefault="005E4AC2" w:rsidP="005E4AC2">
      <w:pPr>
        <w:pStyle w:val="ListParagraph"/>
        <w:numPr>
          <w:ilvl w:val="0"/>
          <w:numId w:val="47"/>
        </w:numPr>
        <w:spacing w:after="270" w:line="276" w:lineRule="auto"/>
        <w:jc w:val="both"/>
        <w:rPr>
          <w:rFonts w:ascii="Times New Roman" w:hAnsi="Times New Roman"/>
          <w:sz w:val="24"/>
          <w:szCs w:val="24"/>
        </w:rPr>
      </w:pPr>
      <w:r w:rsidRPr="00FF1972">
        <w:rPr>
          <w:rFonts w:ascii="Times New Roman" w:hAnsi="Times New Roman"/>
          <w:sz w:val="24"/>
          <w:szCs w:val="24"/>
        </w:rPr>
        <w:t>C</w:t>
      </w:r>
      <w:r>
        <w:rPr>
          <w:rFonts w:ascii="Times New Roman" w:hAnsi="Times New Roman"/>
          <w:sz w:val="24"/>
          <w:szCs w:val="24"/>
        </w:rPr>
        <w:t>ontinued c</w:t>
      </w:r>
      <w:r w:rsidRPr="00FF1972">
        <w:rPr>
          <w:rFonts w:ascii="Times New Roman" w:hAnsi="Times New Roman"/>
          <w:sz w:val="24"/>
          <w:szCs w:val="24"/>
        </w:rPr>
        <w:t>ompliance with public financial procedures and</w:t>
      </w:r>
      <w:r>
        <w:rPr>
          <w:rFonts w:ascii="Times New Roman" w:hAnsi="Times New Roman"/>
          <w:sz w:val="24"/>
          <w:szCs w:val="24"/>
        </w:rPr>
        <w:t>,</w:t>
      </w:r>
      <w:r w:rsidRPr="00FF1972">
        <w:rPr>
          <w:rFonts w:ascii="Times New Roman" w:hAnsi="Times New Roman"/>
          <w:sz w:val="24"/>
          <w:szCs w:val="24"/>
        </w:rPr>
        <w:t xml:space="preserve"> in particular</w:t>
      </w:r>
      <w:r>
        <w:rPr>
          <w:rFonts w:ascii="Times New Roman" w:hAnsi="Times New Roman"/>
          <w:sz w:val="24"/>
          <w:szCs w:val="24"/>
        </w:rPr>
        <w:t>,</w:t>
      </w:r>
      <w:r w:rsidRPr="00FF1972">
        <w:rPr>
          <w:rFonts w:ascii="Times New Roman" w:hAnsi="Times New Roman"/>
          <w:sz w:val="24"/>
          <w:szCs w:val="24"/>
        </w:rPr>
        <w:t xml:space="preserve"> DPER </w:t>
      </w:r>
      <w:r w:rsidRPr="00FF1972">
        <w:rPr>
          <w:rFonts w:ascii="Times New Roman" w:hAnsi="Times New Roman"/>
          <w:i/>
          <w:sz w:val="24"/>
          <w:szCs w:val="24"/>
        </w:rPr>
        <w:t xml:space="preserve">Circular 13/2014 </w:t>
      </w:r>
      <w:r w:rsidRPr="00FF1972">
        <w:rPr>
          <w:rFonts w:ascii="Times New Roman" w:hAnsi="Times New Roman"/>
          <w:bCs/>
          <w:i/>
          <w:iCs/>
          <w:sz w:val="24"/>
          <w:szCs w:val="24"/>
        </w:rPr>
        <w:t>Management of and Accountability for Grants from Exchequer Funds</w:t>
      </w:r>
      <w:r>
        <w:rPr>
          <w:rFonts w:ascii="Times New Roman" w:hAnsi="Times New Roman"/>
          <w:bCs/>
          <w:iCs/>
          <w:sz w:val="24"/>
          <w:szCs w:val="24"/>
        </w:rPr>
        <w:t>.</w:t>
      </w:r>
    </w:p>
    <w:p w14:paraId="58AF44B0" w14:textId="77777777" w:rsidR="005E4AC2" w:rsidRDefault="005E4AC2" w:rsidP="005E4AC2">
      <w:pPr>
        <w:pStyle w:val="ListParagraph"/>
        <w:spacing w:line="276" w:lineRule="auto"/>
        <w:jc w:val="both"/>
        <w:rPr>
          <w:rFonts w:ascii="Times New Roman" w:hAnsi="Times New Roman"/>
          <w:sz w:val="24"/>
          <w:szCs w:val="24"/>
        </w:rPr>
      </w:pPr>
    </w:p>
    <w:p w14:paraId="56EAF9B0" w14:textId="77777777" w:rsidR="005E4AC2" w:rsidRPr="00425EF0" w:rsidRDefault="005E4AC2" w:rsidP="005E4AC2">
      <w:pPr>
        <w:pStyle w:val="ListParagraph"/>
        <w:numPr>
          <w:ilvl w:val="0"/>
          <w:numId w:val="47"/>
        </w:numPr>
        <w:spacing w:after="270" w:line="276" w:lineRule="auto"/>
        <w:jc w:val="both"/>
        <w:rPr>
          <w:rFonts w:ascii="Times New Roman" w:hAnsi="Times New Roman"/>
          <w:sz w:val="24"/>
          <w:szCs w:val="24"/>
        </w:rPr>
      </w:pPr>
      <w:r>
        <w:rPr>
          <w:rFonts w:ascii="Times New Roman" w:hAnsi="Times New Roman"/>
          <w:sz w:val="24"/>
          <w:szCs w:val="24"/>
        </w:rPr>
        <w:t xml:space="preserve">If a contractor for service </w:t>
      </w:r>
      <w:r w:rsidRPr="00425EF0">
        <w:rPr>
          <w:rFonts w:ascii="Times New Roman" w:hAnsi="Times New Roman"/>
          <w:sz w:val="24"/>
          <w:szCs w:val="24"/>
        </w:rPr>
        <w:t>can make the service</w:t>
      </w:r>
      <w:r>
        <w:rPr>
          <w:rFonts w:ascii="Times New Roman" w:hAnsi="Times New Roman"/>
          <w:sz w:val="24"/>
          <w:szCs w:val="24"/>
        </w:rPr>
        <w:t xml:space="preserve"> (e.g. training)</w:t>
      </w:r>
      <w:r w:rsidRPr="00425EF0">
        <w:rPr>
          <w:rFonts w:ascii="Times New Roman" w:hAnsi="Times New Roman"/>
          <w:sz w:val="24"/>
          <w:szCs w:val="24"/>
        </w:rPr>
        <w:t xml:space="preserve"> available and if the </w:t>
      </w:r>
      <w:r>
        <w:rPr>
          <w:rFonts w:ascii="Times New Roman" w:hAnsi="Times New Roman"/>
          <w:sz w:val="24"/>
          <w:szCs w:val="24"/>
        </w:rPr>
        <w:t xml:space="preserve">recipients (e.g. </w:t>
      </w:r>
      <w:r w:rsidRPr="00425EF0">
        <w:rPr>
          <w:rFonts w:ascii="Times New Roman" w:hAnsi="Times New Roman"/>
          <w:sz w:val="24"/>
          <w:szCs w:val="24"/>
        </w:rPr>
        <w:t>trainees</w:t>
      </w:r>
      <w:r>
        <w:rPr>
          <w:rFonts w:ascii="Times New Roman" w:hAnsi="Times New Roman"/>
          <w:sz w:val="24"/>
          <w:szCs w:val="24"/>
        </w:rPr>
        <w:t>)</w:t>
      </w:r>
      <w:r w:rsidRPr="00425EF0">
        <w:rPr>
          <w:rFonts w:ascii="Times New Roman" w:hAnsi="Times New Roman"/>
          <w:sz w:val="24"/>
          <w:szCs w:val="24"/>
        </w:rPr>
        <w:t xml:space="preserve"> can continue to use that service</w:t>
      </w:r>
      <w:r>
        <w:rPr>
          <w:rFonts w:ascii="Times New Roman" w:hAnsi="Times New Roman"/>
          <w:sz w:val="24"/>
          <w:szCs w:val="24"/>
        </w:rPr>
        <w:t>,</w:t>
      </w:r>
      <w:r w:rsidRPr="00425EF0">
        <w:rPr>
          <w:rFonts w:ascii="Times New Roman" w:hAnsi="Times New Roman"/>
          <w:sz w:val="24"/>
          <w:szCs w:val="24"/>
        </w:rPr>
        <w:t xml:space="preserve"> albeit remotely or in a format that is different than was intended but is still working</w:t>
      </w:r>
      <w:r>
        <w:rPr>
          <w:rFonts w:ascii="Times New Roman" w:hAnsi="Times New Roman"/>
          <w:sz w:val="24"/>
          <w:szCs w:val="24"/>
        </w:rPr>
        <w:t>,</w:t>
      </w:r>
      <w:r w:rsidRPr="00425EF0">
        <w:rPr>
          <w:rFonts w:ascii="Times New Roman" w:hAnsi="Times New Roman"/>
          <w:sz w:val="24"/>
          <w:szCs w:val="24"/>
        </w:rPr>
        <w:t xml:space="preserve"> the </w:t>
      </w:r>
      <w:r>
        <w:rPr>
          <w:rFonts w:ascii="Times New Roman" w:hAnsi="Times New Roman"/>
          <w:sz w:val="24"/>
          <w:szCs w:val="24"/>
        </w:rPr>
        <w:t xml:space="preserve">contracting authority </w:t>
      </w:r>
      <w:r w:rsidRPr="00425EF0">
        <w:rPr>
          <w:rFonts w:ascii="Times New Roman" w:hAnsi="Times New Roman"/>
          <w:sz w:val="24"/>
          <w:szCs w:val="24"/>
        </w:rPr>
        <w:t xml:space="preserve">should continue to pay the contractor. </w:t>
      </w:r>
    </w:p>
    <w:p w14:paraId="0F79C868" w14:textId="77777777" w:rsidR="005E4AC2" w:rsidRDefault="005E4AC2" w:rsidP="005E4AC2">
      <w:pPr>
        <w:pStyle w:val="ListParagraph"/>
        <w:spacing w:line="276" w:lineRule="auto"/>
        <w:jc w:val="both"/>
        <w:rPr>
          <w:rFonts w:ascii="Times New Roman" w:hAnsi="Times New Roman"/>
          <w:sz w:val="24"/>
          <w:szCs w:val="24"/>
        </w:rPr>
      </w:pPr>
    </w:p>
    <w:p w14:paraId="4E09EDBC" w14:textId="77777777" w:rsidR="005E4AC2" w:rsidRPr="00425EF0" w:rsidRDefault="005E4AC2" w:rsidP="005E4AC2">
      <w:pPr>
        <w:pStyle w:val="ListParagraph"/>
        <w:numPr>
          <w:ilvl w:val="0"/>
          <w:numId w:val="47"/>
        </w:numPr>
        <w:spacing w:after="270" w:line="276" w:lineRule="auto"/>
        <w:jc w:val="both"/>
        <w:rPr>
          <w:rFonts w:ascii="Times New Roman" w:hAnsi="Times New Roman"/>
          <w:sz w:val="24"/>
          <w:szCs w:val="24"/>
        </w:rPr>
      </w:pPr>
      <w:r w:rsidRPr="00425EF0">
        <w:rPr>
          <w:rFonts w:ascii="Times New Roman" w:hAnsi="Times New Roman"/>
          <w:sz w:val="24"/>
          <w:szCs w:val="24"/>
        </w:rPr>
        <w:t xml:space="preserve">If it is not possible for the contractor to provide the service as was intended and the </w:t>
      </w:r>
      <w:r>
        <w:rPr>
          <w:rFonts w:ascii="Times New Roman" w:hAnsi="Times New Roman"/>
          <w:sz w:val="24"/>
          <w:szCs w:val="24"/>
        </w:rPr>
        <w:t>contracting authority</w:t>
      </w:r>
      <w:r w:rsidRPr="00425EF0">
        <w:rPr>
          <w:rFonts w:ascii="Times New Roman" w:hAnsi="Times New Roman"/>
          <w:sz w:val="24"/>
          <w:szCs w:val="24"/>
        </w:rPr>
        <w:t xml:space="preserve"> continues to require tha</w:t>
      </w:r>
      <w:r>
        <w:rPr>
          <w:rFonts w:ascii="Times New Roman" w:hAnsi="Times New Roman"/>
          <w:sz w:val="24"/>
          <w:szCs w:val="24"/>
        </w:rPr>
        <w:t xml:space="preserve">t service (or part thereof) it </w:t>
      </w:r>
      <w:r w:rsidRPr="00425EF0">
        <w:rPr>
          <w:rFonts w:ascii="Times New Roman" w:hAnsi="Times New Roman"/>
          <w:sz w:val="24"/>
          <w:szCs w:val="24"/>
        </w:rPr>
        <w:t>should engage with the contractor to determine, the extent if any, the contractor can provide some of the serv</w:t>
      </w:r>
      <w:r>
        <w:rPr>
          <w:rFonts w:ascii="Times New Roman" w:hAnsi="Times New Roman"/>
          <w:sz w:val="24"/>
          <w:szCs w:val="24"/>
        </w:rPr>
        <w:t>ice. If this is possible the contracting authority</w:t>
      </w:r>
      <w:r w:rsidRPr="00425EF0">
        <w:rPr>
          <w:rFonts w:ascii="Times New Roman" w:hAnsi="Times New Roman"/>
          <w:sz w:val="24"/>
          <w:szCs w:val="24"/>
        </w:rPr>
        <w:t xml:space="preserve"> should work to agree with the contractor an appropriate payment for that reduced service. </w:t>
      </w:r>
    </w:p>
    <w:p w14:paraId="6DF228B9" w14:textId="77777777" w:rsidR="005E4AC2" w:rsidRDefault="005E4AC2" w:rsidP="005E4AC2">
      <w:pPr>
        <w:pStyle w:val="ListParagraph"/>
        <w:spacing w:line="276" w:lineRule="auto"/>
        <w:jc w:val="both"/>
        <w:rPr>
          <w:rFonts w:ascii="Times New Roman" w:hAnsi="Times New Roman"/>
          <w:sz w:val="24"/>
          <w:szCs w:val="24"/>
        </w:rPr>
      </w:pPr>
    </w:p>
    <w:p w14:paraId="7E1142D4" w14:textId="0F119617" w:rsidR="005E4AC2" w:rsidRDefault="005E4AC2" w:rsidP="005E4AC2">
      <w:pPr>
        <w:pStyle w:val="ListParagraph"/>
        <w:numPr>
          <w:ilvl w:val="0"/>
          <w:numId w:val="47"/>
        </w:numPr>
        <w:spacing w:after="270" w:line="276" w:lineRule="auto"/>
        <w:jc w:val="both"/>
        <w:rPr>
          <w:rFonts w:ascii="Times New Roman" w:hAnsi="Times New Roman"/>
          <w:sz w:val="24"/>
          <w:szCs w:val="24"/>
        </w:rPr>
      </w:pPr>
      <w:r w:rsidRPr="00425EF0">
        <w:rPr>
          <w:rFonts w:ascii="Times New Roman" w:hAnsi="Times New Roman"/>
          <w:sz w:val="24"/>
          <w:szCs w:val="24"/>
        </w:rPr>
        <w:t>If it is not possible for the contractor to provide the service or not possible for the contracting authority to avail of the service (</w:t>
      </w:r>
      <w:r>
        <w:rPr>
          <w:rFonts w:ascii="Times New Roman" w:hAnsi="Times New Roman"/>
          <w:sz w:val="24"/>
          <w:szCs w:val="24"/>
        </w:rPr>
        <w:t xml:space="preserve">e.g. </w:t>
      </w:r>
      <w:r w:rsidRPr="00425EF0">
        <w:rPr>
          <w:rFonts w:ascii="Times New Roman" w:hAnsi="Times New Roman"/>
          <w:sz w:val="24"/>
          <w:szCs w:val="24"/>
        </w:rPr>
        <w:t xml:space="preserve">cleaning in schools which are closed or catering company in </w:t>
      </w:r>
      <w:r w:rsidRPr="00425EF0">
        <w:rPr>
          <w:rFonts w:ascii="Times New Roman" w:hAnsi="Times New Roman"/>
          <w:sz w:val="24"/>
          <w:szCs w:val="24"/>
        </w:rPr>
        <w:lastRenderedPageBreak/>
        <w:t>training centres), the contracting authority needs to consider what business continuity arrangements need to be put in place</w:t>
      </w:r>
      <w:r w:rsidR="000D6ACD">
        <w:rPr>
          <w:rFonts w:ascii="Times New Roman" w:hAnsi="Times New Roman"/>
          <w:sz w:val="24"/>
          <w:szCs w:val="24"/>
        </w:rPr>
        <w:t xml:space="preserve"> (</w:t>
      </w:r>
      <w:r>
        <w:rPr>
          <w:rFonts w:ascii="Times New Roman" w:hAnsi="Times New Roman"/>
          <w:sz w:val="24"/>
          <w:szCs w:val="24"/>
        </w:rPr>
        <w:t>if any</w:t>
      </w:r>
      <w:r w:rsidR="000D6ACD">
        <w:rPr>
          <w:rFonts w:ascii="Times New Roman" w:hAnsi="Times New Roman"/>
          <w:sz w:val="24"/>
          <w:szCs w:val="24"/>
        </w:rPr>
        <w:t>),</w:t>
      </w:r>
      <w:r w:rsidRPr="00425EF0">
        <w:rPr>
          <w:rFonts w:ascii="Times New Roman" w:hAnsi="Times New Roman"/>
          <w:sz w:val="24"/>
          <w:szCs w:val="24"/>
        </w:rPr>
        <w:t xml:space="preserve"> which would allow the service to be available when restrictions are lifted</w:t>
      </w:r>
      <w:r>
        <w:rPr>
          <w:rFonts w:ascii="Times New Roman" w:hAnsi="Times New Roman"/>
          <w:sz w:val="24"/>
          <w:szCs w:val="24"/>
        </w:rPr>
        <w:t xml:space="preserve"> (e.g. school transport contractors)</w:t>
      </w:r>
      <w:r w:rsidRPr="00425EF0">
        <w:rPr>
          <w:rFonts w:ascii="Times New Roman" w:hAnsi="Times New Roman"/>
          <w:sz w:val="24"/>
          <w:szCs w:val="24"/>
        </w:rPr>
        <w:t xml:space="preserve">. This will require the contracting authority to engage with the contractor and with approval of the DES, it may be possible to contribute to costs so that the service can become available, if required, including at short notice. </w:t>
      </w:r>
    </w:p>
    <w:p w14:paraId="7ED36385" w14:textId="77777777" w:rsidR="005E4AC2" w:rsidRDefault="005E4AC2" w:rsidP="005E4AC2">
      <w:pPr>
        <w:pStyle w:val="ListParagraph"/>
        <w:spacing w:after="270" w:line="276" w:lineRule="auto"/>
        <w:jc w:val="both"/>
        <w:rPr>
          <w:rFonts w:ascii="Times New Roman" w:hAnsi="Times New Roman"/>
          <w:sz w:val="24"/>
          <w:szCs w:val="24"/>
        </w:rPr>
      </w:pPr>
    </w:p>
    <w:p w14:paraId="1842090F" w14:textId="77777777" w:rsidR="005E4AC2" w:rsidRPr="00425EF0" w:rsidRDefault="005E4AC2" w:rsidP="005E4AC2">
      <w:pPr>
        <w:pStyle w:val="ListParagraph"/>
        <w:numPr>
          <w:ilvl w:val="0"/>
          <w:numId w:val="47"/>
        </w:numPr>
        <w:spacing w:after="270" w:line="276" w:lineRule="auto"/>
        <w:jc w:val="both"/>
        <w:rPr>
          <w:rFonts w:ascii="Times New Roman" w:hAnsi="Times New Roman"/>
          <w:sz w:val="24"/>
          <w:szCs w:val="24"/>
        </w:rPr>
      </w:pPr>
      <w:r>
        <w:rPr>
          <w:rFonts w:ascii="Times New Roman" w:hAnsi="Times New Roman"/>
          <w:sz w:val="24"/>
          <w:szCs w:val="24"/>
        </w:rPr>
        <w:t>The status of grant aided non-government organisations and the type of services they provide to DES is an additional factor to be considered in assessing the business continuity arrangements required, which may need to differ from commercial contract arrangements.</w:t>
      </w:r>
    </w:p>
    <w:p w14:paraId="3862323B" w14:textId="77777777" w:rsidR="005E4AC2" w:rsidRDefault="005E4AC2" w:rsidP="005E4AC2">
      <w:pPr>
        <w:pStyle w:val="ListParagraph"/>
        <w:spacing w:line="276" w:lineRule="auto"/>
        <w:jc w:val="both"/>
        <w:rPr>
          <w:rFonts w:ascii="Times New Roman" w:hAnsi="Times New Roman"/>
          <w:sz w:val="24"/>
          <w:szCs w:val="24"/>
        </w:rPr>
      </w:pPr>
    </w:p>
    <w:p w14:paraId="2A2DDA9A" w14:textId="77777777" w:rsidR="005E4AC2" w:rsidRDefault="005E4AC2" w:rsidP="005E4AC2">
      <w:pPr>
        <w:pStyle w:val="ListParagraph"/>
        <w:numPr>
          <w:ilvl w:val="0"/>
          <w:numId w:val="47"/>
        </w:numPr>
        <w:spacing w:after="270" w:line="276" w:lineRule="auto"/>
        <w:jc w:val="both"/>
        <w:rPr>
          <w:rFonts w:ascii="Times New Roman" w:hAnsi="Times New Roman"/>
          <w:sz w:val="24"/>
          <w:szCs w:val="24"/>
        </w:rPr>
      </w:pPr>
      <w:r w:rsidRPr="00425EF0">
        <w:rPr>
          <w:rFonts w:ascii="Times New Roman" w:hAnsi="Times New Roman"/>
          <w:sz w:val="24"/>
          <w:szCs w:val="24"/>
        </w:rPr>
        <w:t xml:space="preserve">If no payment is necessary to support business continuity the general principle is that the contracting authority should not pay for a service from a contractor which it is not getting, unless </w:t>
      </w:r>
      <w:r>
        <w:rPr>
          <w:rFonts w:ascii="Times New Roman" w:hAnsi="Times New Roman"/>
          <w:sz w:val="24"/>
          <w:szCs w:val="24"/>
        </w:rPr>
        <w:t xml:space="preserve">there is overall exchequer cost implications and/or </w:t>
      </w:r>
      <w:r w:rsidRPr="00425EF0">
        <w:rPr>
          <w:rFonts w:ascii="Times New Roman" w:hAnsi="Times New Roman"/>
          <w:sz w:val="24"/>
          <w:szCs w:val="24"/>
        </w:rPr>
        <w:t xml:space="preserve">the contract is such that it is not possible to discontinue payment without encountering significant legal difficulties. </w:t>
      </w:r>
      <w:r>
        <w:rPr>
          <w:rFonts w:ascii="Times New Roman" w:hAnsi="Times New Roman"/>
          <w:sz w:val="24"/>
          <w:szCs w:val="24"/>
        </w:rPr>
        <w:t>It is, therefore, important that c</w:t>
      </w:r>
      <w:r w:rsidRPr="00425EF0">
        <w:rPr>
          <w:rFonts w:ascii="Times New Roman" w:hAnsi="Times New Roman"/>
          <w:sz w:val="24"/>
          <w:szCs w:val="24"/>
        </w:rPr>
        <w:t>ontracting authorities should take legal advice on these matters and should weigh up the legal consequences of breaking (even temporarily) contracts with contractors and the financial implications of continuing to pay for a service which they are not receiving</w:t>
      </w:r>
      <w:r>
        <w:rPr>
          <w:rFonts w:ascii="Times New Roman" w:hAnsi="Times New Roman"/>
          <w:sz w:val="24"/>
          <w:szCs w:val="24"/>
        </w:rPr>
        <w:t>, while taking into account any force majeure clause and/or doctrine of frustration legal principles</w:t>
      </w:r>
      <w:r w:rsidRPr="00425EF0">
        <w:rPr>
          <w:rFonts w:ascii="Times New Roman" w:hAnsi="Times New Roman"/>
          <w:sz w:val="24"/>
          <w:szCs w:val="24"/>
        </w:rPr>
        <w:t>.</w:t>
      </w:r>
      <w:r>
        <w:rPr>
          <w:rFonts w:ascii="Times New Roman" w:hAnsi="Times New Roman"/>
          <w:sz w:val="24"/>
          <w:szCs w:val="24"/>
        </w:rPr>
        <w:t xml:space="preserve"> </w:t>
      </w:r>
    </w:p>
    <w:p w14:paraId="3C27FF44" w14:textId="77777777" w:rsidR="005E4AC2" w:rsidRPr="00FF1972" w:rsidRDefault="005E4AC2" w:rsidP="005E4AC2">
      <w:pPr>
        <w:pStyle w:val="ListParagraph"/>
        <w:rPr>
          <w:rFonts w:ascii="Times New Roman" w:hAnsi="Times New Roman"/>
          <w:sz w:val="24"/>
          <w:szCs w:val="24"/>
        </w:rPr>
      </w:pPr>
    </w:p>
    <w:p w14:paraId="6578ABD1" w14:textId="77777777" w:rsidR="005E4AC2" w:rsidRPr="003C6EF9" w:rsidRDefault="005E4AC2" w:rsidP="005E4AC2">
      <w:pPr>
        <w:spacing w:line="276" w:lineRule="auto"/>
        <w:jc w:val="both"/>
        <w:rPr>
          <w:rFonts w:ascii="Times New Roman" w:hAnsi="Times New Roman" w:cs="Times New Roman"/>
          <w:sz w:val="24"/>
          <w:szCs w:val="24"/>
        </w:rPr>
      </w:pPr>
      <w:r>
        <w:rPr>
          <w:rFonts w:ascii="Times New Roman" w:hAnsi="Times New Roman" w:cs="Times New Roman"/>
          <w:sz w:val="24"/>
          <w:szCs w:val="24"/>
        </w:rPr>
        <w:t>Therefore, subject to the above caveats, the contracting authority should look to end:</w:t>
      </w:r>
    </w:p>
    <w:p w14:paraId="61646224" w14:textId="77777777" w:rsidR="005E4AC2" w:rsidRPr="003C6EF9" w:rsidRDefault="005E4AC2" w:rsidP="005E4AC2">
      <w:pPr>
        <w:pStyle w:val="ListParagraph"/>
        <w:numPr>
          <w:ilvl w:val="0"/>
          <w:numId w:val="42"/>
        </w:numPr>
        <w:spacing w:after="0" w:line="276" w:lineRule="auto"/>
        <w:contextualSpacing w:val="0"/>
        <w:jc w:val="both"/>
        <w:rPr>
          <w:rFonts w:ascii="Times New Roman" w:eastAsia="Calibri" w:hAnsi="Times New Roman"/>
          <w:sz w:val="24"/>
          <w:szCs w:val="24"/>
        </w:rPr>
      </w:pPr>
      <w:r>
        <w:rPr>
          <w:rFonts w:ascii="Times New Roman" w:eastAsia="Calibri" w:hAnsi="Times New Roman"/>
          <w:sz w:val="24"/>
          <w:szCs w:val="24"/>
        </w:rPr>
        <w:t xml:space="preserve">Non-performing contracts </w:t>
      </w:r>
      <w:r w:rsidRPr="003C6EF9">
        <w:rPr>
          <w:rFonts w:ascii="Times New Roman" w:eastAsia="Calibri" w:hAnsi="Times New Roman"/>
          <w:sz w:val="24"/>
          <w:szCs w:val="24"/>
        </w:rPr>
        <w:t>that have a force majeure clause;</w:t>
      </w:r>
    </w:p>
    <w:p w14:paraId="6315EA86" w14:textId="671FF9F2" w:rsidR="005E4AC2" w:rsidRPr="003C6EF9" w:rsidRDefault="005E4AC2" w:rsidP="005E4AC2">
      <w:pPr>
        <w:pStyle w:val="ListParagraph"/>
        <w:numPr>
          <w:ilvl w:val="0"/>
          <w:numId w:val="42"/>
        </w:numPr>
        <w:spacing w:after="0" w:line="276" w:lineRule="auto"/>
        <w:contextualSpacing w:val="0"/>
        <w:jc w:val="both"/>
        <w:rPr>
          <w:rFonts w:ascii="Times New Roman" w:eastAsia="Calibri" w:hAnsi="Times New Roman"/>
          <w:sz w:val="24"/>
          <w:szCs w:val="24"/>
        </w:rPr>
      </w:pPr>
      <w:r>
        <w:rPr>
          <w:rFonts w:ascii="Times New Roman" w:eastAsia="Calibri" w:hAnsi="Times New Roman"/>
          <w:sz w:val="24"/>
          <w:szCs w:val="24"/>
        </w:rPr>
        <w:t xml:space="preserve">Non-performing contracts </w:t>
      </w:r>
      <w:r w:rsidRPr="003C6EF9">
        <w:rPr>
          <w:rFonts w:ascii="Times New Roman" w:eastAsia="Calibri" w:hAnsi="Times New Roman"/>
          <w:sz w:val="24"/>
          <w:szCs w:val="24"/>
        </w:rPr>
        <w:t xml:space="preserve">that </w:t>
      </w:r>
      <w:r w:rsidR="000D6ACD">
        <w:rPr>
          <w:rFonts w:ascii="Times New Roman" w:eastAsia="Calibri" w:hAnsi="Times New Roman"/>
          <w:sz w:val="24"/>
          <w:szCs w:val="24"/>
        </w:rPr>
        <w:t xml:space="preserve">were </w:t>
      </w:r>
      <w:r w:rsidRPr="003C6EF9">
        <w:rPr>
          <w:rFonts w:ascii="Times New Roman" w:eastAsia="Calibri" w:hAnsi="Times New Roman"/>
          <w:sz w:val="24"/>
          <w:szCs w:val="24"/>
        </w:rPr>
        <w:t>conclud</w:t>
      </w:r>
      <w:r w:rsidR="000D6ACD">
        <w:rPr>
          <w:rFonts w:ascii="Times New Roman" w:eastAsia="Calibri" w:hAnsi="Times New Roman"/>
          <w:sz w:val="24"/>
          <w:szCs w:val="24"/>
        </w:rPr>
        <w:t xml:space="preserve">ed </w:t>
      </w:r>
      <w:r w:rsidRPr="003C6EF9">
        <w:rPr>
          <w:rFonts w:ascii="Times New Roman" w:eastAsia="Calibri" w:hAnsi="Times New Roman"/>
          <w:sz w:val="24"/>
          <w:szCs w:val="24"/>
        </w:rPr>
        <w:t xml:space="preserve">at the end of </w:t>
      </w:r>
      <w:r w:rsidR="000D6ACD">
        <w:rPr>
          <w:rFonts w:ascii="Times New Roman" w:eastAsia="Calibri" w:hAnsi="Times New Roman"/>
          <w:sz w:val="24"/>
          <w:szCs w:val="24"/>
        </w:rPr>
        <w:t xml:space="preserve">the recent </w:t>
      </w:r>
      <w:r w:rsidRPr="003C6EF9">
        <w:rPr>
          <w:rFonts w:ascii="Times New Roman" w:eastAsia="Calibri" w:hAnsi="Times New Roman"/>
          <w:sz w:val="24"/>
          <w:szCs w:val="24"/>
        </w:rPr>
        <w:t>term (Easter);</w:t>
      </w:r>
    </w:p>
    <w:p w14:paraId="5AD302A6" w14:textId="77777777" w:rsidR="005E4AC2" w:rsidRPr="003C6EF9" w:rsidRDefault="005E4AC2" w:rsidP="005E4AC2">
      <w:pPr>
        <w:pStyle w:val="ListParagraph"/>
        <w:numPr>
          <w:ilvl w:val="0"/>
          <w:numId w:val="42"/>
        </w:numPr>
        <w:spacing w:after="0" w:line="276" w:lineRule="auto"/>
        <w:contextualSpacing w:val="0"/>
        <w:jc w:val="both"/>
        <w:rPr>
          <w:rFonts w:ascii="Times New Roman" w:eastAsia="Calibri" w:hAnsi="Times New Roman"/>
          <w:sz w:val="24"/>
          <w:szCs w:val="24"/>
        </w:rPr>
      </w:pPr>
      <w:r>
        <w:rPr>
          <w:rFonts w:ascii="Times New Roman" w:eastAsia="Calibri" w:hAnsi="Times New Roman"/>
          <w:sz w:val="24"/>
          <w:szCs w:val="24"/>
        </w:rPr>
        <w:t>C</w:t>
      </w:r>
      <w:r w:rsidRPr="003C6EF9">
        <w:rPr>
          <w:rFonts w:ascii="Times New Roman" w:eastAsia="Calibri" w:hAnsi="Times New Roman"/>
          <w:sz w:val="24"/>
          <w:szCs w:val="24"/>
        </w:rPr>
        <w:t>ontracts by mutual consent where the contractor is in agreement, as it may suit them to have the contract terminated.</w:t>
      </w:r>
    </w:p>
    <w:p w14:paraId="0E9DD530" w14:textId="77777777" w:rsidR="005E4AC2" w:rsidRDefault="005E4AC2" w:rsidP="005E4AC2">
      <w:pPr>
        <w:spacing w:line="276" w:lineRule="auto"/>
        <w:jc w:val="both"/>
        <w:rPr>
          <w:rFonts w:ascii="Times New Roman" w:hAnsi="Times New Roman" w:cs="Times New Roman"/>
          <w:sz w:val="24"/>
          <w:szCs w:val="24"/>
        </w:rPr>
      </w:pPr>
    </w:p>
    <w:p w14:paraId="2BD0AFD7" w14:textId="77777777" w:rsidR="005E4AC2" w:rsidRDefault="005E4AC2" w:rsidP="005E4AC2">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In addition to the issues outlined above, DPER has indicated that as a general principle, there should be no double state funding of services so that it is not possible for a contractor, or an employee of the contractor, to obtain COVID-19 financial supports in cases where the contractor is still being paid the full pay allocation under their publicly funded grant from the contracting authority. This is to ensure that no employer or employee is paid more than 100% of the employee wages from the various state funding arrangements (COVID-19 financial supports + public grant payment should be =or&lt; 100%). </w:t>
      </w:r>
    </w:p>
    <w:p w14:paraId="347EA573" w14:textId="77777777" w:rsidR="005E4AC2" w:rsidRDefault="005E4AC2" w:rsidP="005E4AC2">
      <w:pPr>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In the case of a contractor availing of the COVID-19 Wage Subsidy Scheme (WSS), who had a publicly funded contract with a contracting authority, the contracting authority would need to be informed if the contractor availed of the WSS for the employees who provided the service to the contracting authority. If so, the contracting authority should reduce its public grant funding accordingly to the contractor. For example, a contract is in place to pay a contractor €10,000 pw made up of €6,000 for pay related and €4,000 for non-pay related costs/services. If the contractor receives €4,200 pw (70% of €6,000) for the pay costs relating to employees working on this contract then the contract payments should be reduced to a maximum of €5,800 pw (€1,800 pay and €4,000 non-pay).</w:t>
      </w:r>
    </w:p>
    <w:p w14:paraId="3BE14A8F" w14:textId="77777777" w:rsidR="005E4AC2" w:rsidRDefault="005E4AC2" w:rsidP="005E4AC2">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It is envisaged that initial controls in this area this would be in the form of a self-declaration by the contractor that could be subject to audit at a later date. </w:t>
      </w:r>
    </w:p>
    <w:p w14:paraId="17B71E33" w14:textId="77777777" w:rsidR="005E4AC2" w:rsidRPr="00EF2B81" w:rsidRDefault="005E4AC2" w:rsidP="005E4AC2">
      <w:pPr>
        <w:pStyle w:val="ListParagraph"/>
        <w:numPr>
          <w:ilvl w:val="0"/>
          <w:numId w:val="43"/>
        </w:numPr>
        <w:spacing w:after="270" w:line="276" w:lineRule="auto"/>
        <w:ind w:left="426"/>
        <w:jc w:val="both"/>
        <w:rPr>
          <w:rFonts w:ascii="Times New Roman" w:hAnsi="Times New Roman"/>
          <w:b/>
          <w:sz w:val="24"/>
          <w:szCs w:val="24"/>
          <w:u w:val="single"/>
        </w:rPr>
      </w:pPr>
      <w:r>
        <w:rPr>
          <w:rFonts w:ascii="Times New Roman" w:hAnsi="Times New Roman"/>
          <w:b/>
          <w:sz w:val="24"/>
          <w:szCs w:val="24"/>
          <w:u w:val="single"/>
        </w:rPr>
        <w:t>Contracts of Service</w:t>
      </w:r>
    </w:p>
    <w:p w14:paraId="670E4B57" w14:textId="77777777" w:rsidR="005E4AC2" w:rsidRPr="003C6EF9" w:rsidRDefault="005E4AC2" w:rsidP="005E4AC2">
      <w:pPr>
        <w:spacing w:line="276" w:lineRule="auto"/>
        <w:jc w:val="both"/>
        <w:rPr>
          <w:rFonts w:ascii="Times New Roman" w:hAnsi="Times New Roman" w:cs="Times New Roman"/>
          <w:sz w:val="24"/>
          <w:szCs w:val="24"/>
        </w:rPr>
      </w:pPr>
      <w:r w:rsidRPr="003C6EF9">
        <w:rPr>
          <w:rFonts w:ascii="Times New Roman" w:hAnsi="Times New Roman" w:cs="Times New Roman"/>
          <w:sz w:val="24"/>
          <w:szCs w:val="24"/>
        </w:rPr>
        <w:t xml:space="preserve">There are </w:t>
      </w:r>
      <w:r>
        <w:rPr>
          <w:rFonts w:ascii="Times New Roman" w:hAnsi="Times New Roman" w:cs="Times New Roman"/>
          <w:sz w:val="24"/>
          <w:szCs w:val="24"/>
        </w:rPr>
        <w:t>four</w:t>
      </w:r>
      <w:r w:rsidRPr="003C6EF9">
        <w:rPr>
          <w:rFonts w:ascii="Times New Roman" w:hAnsi="Times New Roman" w:cs="Times New Roman"/>
          <w:sz w:val="24"/>
          <w:szCs w:val="24"/>
        </w:rPr>
        <w:t xml:space="preserve"> </w:t>
      </w:r>
      <w:r>
        <w:rPr>
          <w:rFonts w:ascii="Times New Roman" w:hAnsi="Times New Roman" w:cs="Times New Roman"/>
          <w:sz w:val="24"/>
          <w:szCs w:val="24"/>
        </w:rPr>
        <w:t xml:space="preserve">main </w:t>
      </w:r>
      <w:r w:rsidRPr="003C6EF9">
        <w:rPr>
          <w:rFonts w:ascii="Times New Roman" w:hAnsi="Times New Roman" w:cs="Times New Roman"/>
          <w:sz w:val="24"/>
          <w:szCs w:val="24"/>
        </w:rPr>
        <w:t>categories of employees</w:t>
      </w:r>
      <w:r>
        <w:rPr>
          <w:rFonts w:ascii="Times New Roman" w:hAnsi="Times New Roman" w:cs="Times New Roman"/>
          <w:sz w:val="24"/>
          <w:szCs w:val="24"/>
        </w:rPr>
        <w:t>:</w:t>
      </w:r>
    </w:p>
    <w:p w14:paraId="2A6D2704" w14:textId="77777777" w:rsidR="005E4AC2" w:rsidRDefault="005E4AC2" w:rsidP="005E4AC2">
      <w:pPr>
        <w:pStyle w:val="ListParagraph"/>
        <w:numPr>
          <w:ilvl w:val="1"/>
          <w:numId w:val="44"/>
        </w:numPr>
        <w:spacing w:after="270" w:line="276" w:lineRule="auto"/>
        <w:jc w:val="both"/>
        <w:rPr>
          <w:rFonts w:ascii="Times New Roman" w:hAnsi="Times New Roman"/>
          <w:sz w:val="24"/>
          <w:szCs w:val="24"/>
        </w:rPr>
      </w:pPr>
      <w:r>
        <w:rPr>
          <w:rFonts w:ascii="Times New Roman" w:hAnsi="Times New Roman"/>
          <w:sz w:val="24"/>
          <w:szCs w:val="24"/>
        </w:rPr>
        <w:t>Public servant employees</w:t>
      </w:r>
      <w:r w:rsidRPr="00EF2B81">
        <w:rPr>
          <w:rFonts w:ascii="Times New Roman" w:hAnsi="Times New Roman"/>
          <w:sz w:val="24"/>
          <w:szCs w:val="24"/>
        </w:rPr>
        <w:t>;</w:t>
      </w:r>
    </w:p>
    <w:p w14:paraId="387E9933" w14:textId="77777777" w:rsidR="005E4AC2" w:rsidRPr="002315B3" w:rsidRDefault="005E4AC2" w:rsidP="005E4AC2">
      <w:pPr>
        <w:pStyle w:val="ListParagraph"/>
        <w:numPr>
          <w:ilvl w:val="1"/>
          <w:numId w:val="44"/>
        </w:numPr>
        <w:spacing w:after="270" w:line="276" w:lineRule="auto"/>
        <w:jc w:val="both"/>
        <w:rPr>
          <w:rFonts w:ascii="Times New Roman" w:hAnsi="Times New Roman"/>
          <w:sz w:val="24"/>
          <w:szCs w:val="24"/>
        </w:rPr>
      </w:pPr>
      <w:r>
        <w:rPr>
          <w:rFonts w:ascii="Times New Roman" w:hAnsi="Times New Roman"/>
          <w:sz w:val="24"/>
          <w:szCs w:val="24"/>
        </w:rPr>
        <w:t>Non-public servant employee’s salary fully funded from Exchequer sources</w:t>
      </w:r>
    </w:p>
    <w:p w14:paraId="6BC7FDB6" w14:textId="77777777" w:rsidR="005E4AC2" w:rsidRPr="00EF2B81" w:rsidRDefault="005E4AC2" w:rsidP="005E4AC2">
      <w:pPr>
        <w:pStyle w:val="ListParagraph"/>
        <w:numPr>
          <w:ilvl w:val="1"/>
          <w:numId w:val="44"/>
        </w:numPr>
        <w:spacing w:after="270" w:line="276" w:lineRule="auto"/>
        <w:jc w:val="both"/>
        <w:rPr>
          <w:rFonts w:ascii="Times New Roman" w:hAnsi="Times New Roman"/>
          <w:sz w:val="24"/>
          <w:szCs w:val="24"/>
        </w:rPr>
      </w:pPr>
      <w:r>
        <w:rPr>
          <w:rFonts w:ascii="Times New Roman" w:hAnsi="Times New Roman"/>
          <w:sz w:val="24"/>
          <w:szCs w:val="24"/>
        </w:rPr>
        <w:t>Non-public servant e</w:t>
      </w:r>
      <w:r w:rsidRPr="00EF2B81">
        <w:rPr>
          <w:rFonts w:ascii="Times New Roman" w:hAnsi="Times New Roman"/>
          <w:sz w:val="24"/>
          <w:szCs w:val="24"/>
        </w:rPr>
        <w:t xml:space="preserve">mployee’s salary </w:t>
      </w:r>
      <w:r>
        <w:rPr>
          <w:rFonts w:ascii="Times New Roman" w:hAnsi="Times New Roman"/>
          <w:sz w:val="24"/>
          <w:szCs w:val="24"/>
        </w:rPr>
        <w:t xml:space="preserve">fully </w:t>
      </w:r>
      <w:r w:rsidRPr="00EF2B81">
        <w:rPr>
          <w:rFonts w:ascii="Times New Roman" w:hAnsi="Times New Roman"/>
          <w:sz w:val="24"/>
          <w:szCs w:val="24"/>
        </w:rPr>
        <w:t xml:space="preserve">funded by </w:t>
      </w:r>
      <w:r>
        <w:rPr>
          <w:rFonts w:ascii="Times New Roman" w:hAnsi="Times New Roman"/>
          <w:sz w:val="24"/>
          <w:szCs w:val="24"/>
        </w:rPr>
        <w:t>non-E</w:t>
      </w:r>
      <w:r w:rsidRPr="00EF2B81">
        <w:rPr>
          <w:rFonts w:ascii="Times New Roman" w:hAnsi="Times New Roman"/>
          <w:sz w:val="24"/>
          <w:szCs w:val="24"/>
        </w:rPr>
        <w:t>xchequer</w:t>
      </w:r>
      <w:r>
        <w:rPr>
          <w:rFonts w:ascii="Times New Roman" w:hAnsi="Times New Roman"/>
          <w:sz w:val="24"/>
          <w:szCs w:val="24"/>
        </w:rPr>
        <w:t xml:space="preserve"> sources</w:t>
      </w:r>
      <w:r w:rsidRPr="00EF2B81">
        <w:rPr>
          <w:rFonts w:ascii="Times New Roman" w:hAnsi="Times New Roman"/>
          <w:sz w:val="24"/>
          <w:szCs w:val="24"/>
        </w:rPr>
        <w:t>;</w:t>
      </w:r>
    </w:p>
    <w:p w14:paraId="725D1431" w14:textId="77777777" w:rsidR="005E4AC2" w:rsidRPr="00EF2B81" w:rsidRDefault="005E4AC2" w:rsidP="005E4AC2">
      <w:pPr>
        <w:pStyle w:val="ListParagraph"/>
        <w:numPr>
          <w:ilvl w:val="1"/>
          <w:numId w:val="44"/>
        </w:numPr>
        <w:spacing w:after="270" w:line="276" w:lineRule="auto"/>
        <w:jc w:val="both"/>
        <w:rPr>
          <w:rFonts w:ascii="Times New Roman" w:hAnsi="Times New Roman"/>
          <w:sz w:val="24"/>
          <w:szCs w:val="24"/>
        </w:rPr>
      </w:pPr>
      <w:r>
        <w:rPr>
          <w:rFonts w:ascii="Times New Roman" w:hAnsi="Times New Roman"/>
          <w:sz w:val="24"/>
          <w:szCs w:val="24"/>
        </w:rPr>
        <w:t>Non-public servant e</w:t>
      </w:r>
      <w:r w:rsidRPr="00EF2B81">
        <w:rPr>
          <w:rFonts w:ascii="Times New Roman" w:hAnsi="Times New Roman"/>
          <w:sz w:val="24"/>
          <w:szCs w:val="24"/>
        </w:rPr>
        <w:t xml:space="preserve">mployee’s salary </w:t>
      </w:r>
      <w:r>
        <w:rPr>
          <w:rFonts w:ascii="Times New Roman" w:hAnsi="Times New Roman"/>
          <w:sz w:val="24"/>
          <w:szCs w:val="24"/>
        </w:rPr>
        <w:t xml:space="preserve">partially by Exchequer and </w:t>
      </w:r>
      <w:r w:rsidRPr="00EF2B81">
        <w:rPr>
          <w:rFonts w:ascii="Times New Roman" w:hAnsi="Times New Roman"/>
          <w:sz w:val="24"/>
          <w:szCs w:val="24"/>
        </w:rPr>
        <w:t>non-</w:t>
      </w:r>
      <w:r>
        <w:rPr>
          <w:rFonts w:ascii="Times New Roman" w:hAnsi="Times New Roman"/>
          <w:sz w:val="24"/>
          <w:szCs w:val="24"/>
        </w:rPr>
        <w:t>E</w:t>
      </w:r>
      <w:r w:rsidRPr="00EF2B81">
        <w:rPr>
          <w:rFonts w:ascii="Times New Roman" w:hAnsi="Times New Roman"/>
          <w:sz w:val="24"/>
          <w:szCs w:val="24"/>
        </w:rPr>
        <w:t>xchequer sources.</w:t>
      </w:r>
    </w:p>
    <w:p w14:paraId="77DC9D59" w14:textId="77777777" w:rsidR="005E4AC2" w:rsidRDefault="005E4AC2" w:rsidP="005E4AC2">
      <w:pPr>
        <w:pStyle w:val="ListParagraph"/>
        <w:spacing w:line="276" w:lineRule="auto"/>
        <w:ind w:left="0"/>
        <w:rPr>
          <w:rFonts w:ascii="Times New Roman" w:hAnsi="Times New Roman"/>
          <w:sz w:val="24"/>
          <w:szCs w:val="24"/>
        </w:rPr>
      </w:pPr>
    </w:p>
    <w:p w14:paraId="7BED18A2" w14:textId="77777777" w:rsidR="005E4AC2" w:rsidRDefault="005E4AC2" w:rsidP="005E4AC2">
      <w:pPr>
        <w:pStyle w:val="ListParagraph"/>
        <w:spacing w:line="276" w:lineRule="auto"/>
        <w:ind w:left="0"/>
        <w:rPr>
          <w:rFonts w:ascii="Times New Roman" w:hAnsi="Times New Roman"/>
          <w:sz w:val="24"/>
          <w:szCs w:val="24"/>
        </w:rPr>
      </w:pPr>
    </w:p>
    <w:p w14:paraId="51D6FD08" w14:textId="77777777" w:rsidR="005E4AC2" w:rsidRPr="00EF2B81" w:rsidRDefault="005E4AC2" w:rsidP="005E4AC2">
      <w:pPr>
        <w:pStyle w:val="ListParagraph"/>
        <w:numPr>
          <w:ilvl w:val="1"/>
          <w:numId w:val="45"/>
        </w:numPr>
        <w:spacing w:after="270" w:line="276" w:lineRule="auto"/>
        <w:rPr>
          <w:rFonts w:ascii="Times New Roman" w:hAnsi="Times New Roman"/>
          <w:sz w:val="24"/>
          <w:szCs w:val="24"/>
          <w:u w:val="single"/>
        </w:rPr>
      </w:pPr>
      <w:r>
        <w:rPr>
          <w:rFonts w:ascii="Times New Roman" w:hAnsi="Times New Roman"/>
          <w:sz w:val="24"/>
          <w:szCs w:val="24"/>
          <w:u w:val="single"/>
        </w:rPr>
        <w:t>Public servant employees</w:t>
      </w:r>
      <w:r w:rsidRPr="00EF2B81">
        <w:rPr>
          <w:rFonts w:ascii="Times New Roman" w:hAnsi="Times New Roman"/>
          <w:sz w:val="24"/>
          <w:szCs w:val="24"/>
          <w:u w:val="single"/>
        </w:rPr>
        <w:t>:</w:t>
      </w:r>
    </w:p>
    <w:p w14:paraId="3FB5F140" w14:textId="77777777" w:rsidR="005E4AC2" w:rsidRPr="003C6EF9" w:rsidRDefault="005E4AC2" w:rsidP="005E4AC2">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While a number of exceptions exist across the education and skill sectors, an employee is generally </w:t>
      </w:r>
      <w:proofErr w:type="spellStart"/>
      <w:r>
        <w:rPr>
          <w:rFonts w:ascii="Times New Roman" w:hAnsi="Times New Roman" w:cs="Times New Roman"/>
          <w:sz w:val="24"/>
          <w:szCs w:val="24"/>
        </w:rPr>
        <w:t>categorised</w:t>
      </w:r>
      <w:proofErr w:type="spellEnd"/>
      <w:r>
        <w:rPr>
          <w:rFonts w:ascii="Times New Roman" w:hAnsi="Times New Roman" w:cs="Times New Roman"/>
          <w:sz w:val="24"/>
          <w:szCs w:val="24"/>
        </w:rPr>
        <w:t xml:space="preserve"> as a public servant if that </w:t>
      </w:r>
      <w:r w:rsidRPr="003C6EF9">
        <w:rPr>
          <w:rFonts w:ascii="Times New Roman" w:hAnsi="Times New Roman" w:cs="Times New Roman"/>
          <w:sz w:val="24"/>
          <w:szCs w:val="24"/>
        </w:rPr>
        <w:t>employee</w:t>
      </w:r>
      <w:r>
        <w:rPr>
          <w:rFonts w:ascii="Times New Roman" w:hAnsi="Times New Roman" w:cs="Times New Roman"/>
          <w:sz w:val="24"/>
          <w:szCs w:val="24"/>
        </w:rPr>
        <w:t xml:space="preserve"> is part of</w:t>
      </w:r>
      <w:r w:rsidRPr="003C6EF9">
        <w:rPr>
          <w:rFonts w:ascii="Times New Roman" w:hAnsi="Times New Roman" w:cs="Times New Roman"/>
          <w:sz w:val="24"/>
          <w:szCs w:val="24"/>
        </w:rPr>
        <w:t xml:space="preserve"> a public service pension scheme.</w:t>
      </w:r>
    </w:p>
    <w:p w14:paraId="6E20B165" w14:textId="77777777" w:rsidR="005E4AC2" w:rsidRDefault="005E4AC2" w:rsidP="005E4AC2">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A large number </w:t>
      </w:r>
      <w:r w:rsidRPr="003C6EF9">
        <w:rPr>
          <w:rFonts w:ascii="Times New Roman" w:hAnsi="Times New Roman" w:cs="Times New Roman"/>
          <w:sz w:val="24"/>
          <w:szCs w:val="24"/>
        </w:rPr>
        <w:t xml:space="preserve">of employees </w:t>
      </w:r>
      <w:r>
        <w:rPr>
          <w:rFonts w:ascii="Times New Roman" w:hAnsi="Times New Roman" w:cs="Times New Roman"/>
          <w:sz w:val="24"/>
          <w:szCs w:val="24"/>
        </w:rPr>
        <w:t xml:space="preserve">across the sector </w:t>
      </w:r>
      <w:r w:rsidRPr="003C6EF9">
        <w:rPr>
          <w:rFonts w:ascii="Times New Roman" w:hAnsi="Times New Roman" w:cs="Times New Roman"/>
          <w:sz w:val="24"/>
          <w:szCs w:val="24"/>
        </w:rPr>
        <w:t>will fall into this category</w:t>
      </w:r>
      <w:r>
        <w:rPr>
          <w:rFonts w:ascii="Times New Roman" w:hAnsi="Times New Roman" w:cs="Times New Roman"/>
          <w:sz w:val="24"/>
          <w:szCs w:val="24"/>
        </w:rPr>
        <w:t xml:space="preserve"> i.e. they have public servant status</w:t>
      </w:r>
      <w:r w:rsidRPr="003C6EF9">
        <w:rPr>
          <w:rFonts w:ascii="Times New Roman" w:hAnsi="Times New Roman" w:cs="Times New Roman"/>
          <w:sz w:val="24"/>
          <w:szCs w:val="24"/>
        </w:rPr>
        <w:t>. These employees will continue to be paid</w:t>
      </w:r>
      <w:r>
        <w:rPr>
          <w:rFonts w:ascii="Times New Roman" w:hAnsi="Times New Roman" w:cs="Times New Roman"/>
          <w:sz w:val="24"/>
          <w:szCs w:val="24"/>
        </w:rPr>
        <w:t xml:space="preserve"> as normal subject to any central Government decision on public sector pay arising</w:t>
      </w:r>
      <w:r w:rsidRPr="003C6EF9">
        <w:rPr>
          <w:rFonts w:ascii="Times New Roman" w:hAnsi="Times New Roman" w:cs="Times New Roman"/>
          <w:sz w:val="24"/>
          <w:szCs w:val="24"/>
        </w:rPr>
        <w:t xml:space="preserve">, and </w:t>
      </w:r>
      <w:r>
        <w:rPr>
          <w:rFonts w:ascii="Times New Roman" w:hAnsi="Times New Roman" w:cs="Times New Roman"/>
          <w:sz w:val="24"/>
          <w:szCs w:val="24"/>
        </w:rPr>
        <w:t xml:space="preserve">should be identified for </w:t>
      </w:r>
      <w:r w:rsidRPr="003C6EF9">
        <w:rPr>
          <w:rFonts w:ascii="Times New Roman" w:hAnsi="Times New Roman" w:cs="Times New Roman"/>
          <w:sz w:val="24"/>
          <w:szCs w:val="24"/>
        </w:rPr>
        <w:t>temporary redeploy</w:t>
      </w:r>
      <w:r>
        <w:rPr>
          <w:rFonts w:ascii="Times New Roman" w:hAnsi="Times New Roman" w:cs="Times New Roman"/>
          <w:sz w:val="24"/>
          <w:szCs w:val="24"/>
        </w:rPr>
        <w:t>ment</w:t>
      </w:r>
      <w:r w:rsidRPr="003C6EF9">
        <w:rPr>
          <w:rFonts w:ascii="Times New Roman" w:hAnsi="Times New Roman" w:cs="Times New Roman"/>
          <w:sz w:val="24"/>
          <w:szCs w:val="24"/>
        </w:rPr>
        <w:t xml:space="preserve"> within the public sector if applicable (DES Circular 0027/2020).</w:t>
      </w:r>
    </w:p>
    <w:p w14:paraId="4B6F4E7E" w14:textId="77777777" w:rsidR="005E4AC2" w:rsidRPr="003C6EF9" w:rsidRDefault="005E4AC2" w:rsidP="005E4AC2">
      <w:pPr>
        <w:spacing w:line="276" w:lineRule="auto"/>
        <w:jc w:val="both"/>
        <w:rPr>
          <w:rFonts w:ascii="Times New Roman" w:hAnsi="Times New Roman" w:cs="Times New Roman"/>
          <w:sz w:val="24"/>
          <w:szCs w:val="24"/>
        </w:rPr>
      </w:pPr>
      <w:r w:rsidRPr="001430AE">
        <w:rPr>
          <w:rFonts w:ascii="Times New Roman" w:hAnsi="Times New Roman" w:cs="Times New Roman"/>
          <w:sz w:val="24"/>
          <w:szCs w:val="24"/>
        </w:rPr>
        <w:lastRenderedPageBreak/>
        <w:t xml:space="preserve">The funding for public servant employees is usually direct from </w:t>
      </w:r>
      <w:r>
        <w:rPr>
          <w:rFonts w:ascii="Times New Roman" w:hAnsi="Times New Roman" w:cs="Times New Roman"/>
          <w:sz w:val="24"/>
          <w:szCs w:val="24"/>
        </w:rPr>
        <w:t>E</w:t>
      </w:r>
      <w:r w:rsidRPr="001430AE">
        <w:rPr>
          <w:rFonts w:ascii="Times New Roman" w:hAnsi="Times New Roman" w:cs="Times New Roman"/>
          <w:sz w:val="24"/>
          <w:szCs w:val="24"/>
        </w:rPr>
        <w:t xml:space="preserve">xchequer sources. In instances where the </w:t>
      </w:r>
      <w:r>
        <w:rPr>
          <w:rFonts w:ascii="Times New Roman" w:hAnsi="Times New Roman" w:cs="Times New Roman"/>
          <w:sz w:val="24"/>
          <w:szCs w:val="24"/>
        </w:rPr>
        <w:t xml:space="preserve">public servant </w:t>
      </w:r>
      <w:r w:rsidRPr="001430AE">
        <w:rPr>
          <w:rFonts w:ascii="Times New Roman" w:hAnsi="Times New Roman" w:cs="Times New Roman"/>
          <w:sz w:val="24"/>
          <w:szCs w:val="24"/>
        </w:rPr>
        <w:t>salary is partially or fully funded from non-</w:t>
      </w:r>
      <w:r>
        <w:rPr>
          <w:rFonts w:ascii="Times New Roman" w:hAnsi="Times New Roman" w:cs="Times New Roman"/>
          <w:sz w:val="24"/>
          <w:szCs w:val="24"/>
        </w:rPr>
        <w:t>E</w:t>
      </w:r>
      <w:r w:rsidRPr="001430AE">
        <w:rPr>
          <w:rFonts w:ascii="Times New Roman" w:hAnsi="Times New Roman" w:cs="Times New Roman"/>
          <w:sz w:val="24"/>
          <w:szCs w:val="24"/>
        </w:rPr>
        <w:t>xchequer sources</w:t>
      </w:r>
      <w:r>
        <w:rPr>
          <w:rStyle w:val="FootnoteReference"/>
          <w:rFonts w:ascii="Times New Roman" w:hAnsi="Times New Roman" w:cs="Times New Roman"/>
          <w:sz w:val="24"/>
          <w:szCs w:val="24"/>
        </w:rPr>
        <w:footnoteReference w:id="2"/>
      </w:r>
      <w:r w:rsidRPr="001430AE">
        <w:rPr>
          <w:rFonts w:ascii="Times New Roman" w:hAnsi="Times New Roman" w:cs="Times New Roman"/>
          <w:sz w:val="24"/>
          <w:szCs w:val="24"/>
        </w:rPr>
        <w:t xml:space="preserve">, the public sector </w:t>
      </w:r>
      <w:r>
        <w:rPr>
          <w:rFonts w:ascii="Times New Roman" w:hAnsi="Times New Roman" w:cs="Times New Roman"/>
          <w:sz w:val="24"/>
          <w:szCs w:val="24"/>
        </w:rPr>
        <w:t xml:space="preserve">body should </w:t>
      </w:r>
      <w:r w:rsidRPr="001430AE">
        <w:rPr>
          <w:rFonts w:ascii="Times New Roman" w:hAnsi="Times New Roman" w:cs="Times New Roman"/>
          <w:sz w:val="24"/>
          <w:szCs w:val="24"/>
        </w:rPr>
        <w:t>continue to carry the cost of these salaries.  While there will be funding shortfalls in such circumstances, there may also be other savings</w:t>
      </w:r>
      <w:r>
        <w:rPr>
          <w:rFonts w:ascii="Times New Roman" w:hAnsi="Times New Roman" w:cs="Times New Roman"/>
          <w:sz w:val="24"/>
          <w:szCs w:val="24"/>
        </w:rPr>
        <w:t xml:space="preserve"> (COVID-</w:t>
      </w:r>
      <w:r w:rsidRPr="001430AE">
        <w:rPr>
          <w:rFonts w:ascii="Times New Roman" w:hAnsi="Times New Roman" w:cs="Times New Roman"/>
          <w:sz w:val="24"/>
          <w:szCs w:val="24"/>
        </w:rPr>
        <w:t xml:space="preserve">19 or otherwise) in areas which may be </w:t>
      </w:r>
      <w:proofErr w:type="spellStart"/>
      <w:r w:rsidRPr="001430AE">
        <w:rPr>
          <w:rFonts w:ascii="Times New Roman" w:hAnsi="Times New Roman" w:cs="Times New Roman"/>
          <w:sz w:val="24"/>
          <w:szCs w:val="24"/>
        </w:rPr>
        <w:t>utilised</w:t>
      </w:r>
      <w:proofErr w:type="spellEnd"/>
      <w:r w:rsidRPr="001430AE">
        <w:rPr>
          <w:rFonts w:ascii="Times New Roman" w:hAnsi="Times New Roman" w:cs="Times New Roman"/>
          <w:sz w:val="24"/>
          <w:szCs w:val="24"/>
        </w:rPr>
        <w:t xml:space="preserve"> to offset the funding shortfalls. However, if</w:t>
      </w:r>
      <w:r>
        <w:rPr>
          <w:rFonts w:ascii="Times New Roman" w:hAnsi="Times New Roman" w:cs="Times New Roman"/>
          <w:sz w:val="24"/>
          <w:szCs w:val="24"/>
        </w:rPr>
        <w:t xml:space="preserve"> they are</w:t>
      </w:r>
      <w:r w:rsidRPr="001430AE">
        <w:rPr>
          <w:rFonts w:ascii="Times New Roman" w:hAnsi="Times New Roman" w:cs="Times New Roman"/>
          <w:sz w:val="24"/>
          <w:szCs w:val="24"/>
        </w:rPr>
        <w:t xml:space="preserve"> unable to generate sufficient savings, it will present funding challenges and could result in creating/increasing deficits and cash flow difficulties for public sector bodies.</w:t>
      </w:r>
      <w:r>
        <w:rPr>
          <w:rFonts w:ascii="Times New Roman" w:hAnsi="Times New Roman" w:cs="Times New Roman"/>
          <w:sz w:val="24"/>
          <w:szCs w:val="24"/>
        </w:rPr>
        <w:t xml:space="preserve"> </w:t>
      </w:r>
      <w:r w:rsidRPr="00886F74">
        <w:rPr>
          <w:rFonts w:ascii="Times New Roman" w:hAnsi="Times New Roman" w:cs="Times New Roman"/>
          <w:sz w:val="24"/>
          <w:szCs w:val="24"/>
        </w:rPr>
        <w:t xml:space="preserve">Like all unexpected costs which can arise in any financial year, the DES would then engage with the individual public sector body or sector in general on the basis of those who are experiencing particular challenges and manage them as best as possible </w:t>
      </w:r>
      <w:r>
        <w:rPr>
          <w:rFonts w:ascii="Times New Roman" w:hAnsi="Times New Roman" w:cs="Times New Roman"/>
          <w:sz w:val="24"/>
          <w:szCs w:val="24"/>
        </w:rPr>
        <w:t>within the resources available.</w:t>
      </w:r>
    </w:p>
    <w:p w14:paraId="43A40E80" w14:textId="77777777" w:rsidR="005E4AC2" w:rsidRPr="002315B3" w:rsidRDefault="005E4AC2" w:rsidP="005E4AC2">
      <w:pPr>
        <w:pStyle w:val="ListParagraph"/>
        <w:numPr>
          <w:ilvl w:val="1"/>
          <w:numId w:val="45"/>
        </w:numPr>
        <w:spacing w:after="270" w:line="276" w:lineRule="auto"/>
        <w:jc w:val="both"/>
        <w:rPr>
          <w:rFonts w:ascii="Times New Roman" w:hAnsi="Times New Roman"/>
          <w:sz w:val="24"/>
          <w:szCs w:val="24"/>
          <w:u w:val="single"/>
        </w:rPr>
      </w:pPr>
      <w:r w:rsidRPr="002315B3">
        <w:rPr>
          <w:rFonts w:ascii="Times New Roman" w:hAnsi="Times New Roman"/>
          <w:sz w:val="24"/>
          <w:szCs w:val="24"/>
          <w:u w:val="single"/>
        </w:rPr>
        <w:t>Non-public servant employee’s salary fully funded from Exchequer sources</w:t>
      </w:r>
      <w:r>
        <w:rPr>
          <w:rFonts w:ascii="Times New Roman" w:hAnsi="Times New Roman"/>
          <w:sz w:val="24"/>
          <w:szCs w:val="24"/>
          <w:u w:val="single"/>
        </w:rPr>
        <w:t>,</w:t>
      </w:r>
    </w:p>
    <w:p w14:paraId="07CD2995" w14:textId="77777777" w:rsidR="005E4AC2" w:rsidRPr="002315B3" w:rsidRDefault="005E4AC2" w:rsidP="005E4AC2">
      <w:pPr>
        <w:pStyle w:val="ListParagraph"/>
        <w:numPr>
          <w:ilvl w:val="1"/>
          <w:numId w:val="45"/>
        </w:numPr>
        <w:spacing w:after="270" w:line="276" w:lineRule="auto"/>
        <w:rPr>
          <w:rFonts w:ascii="Times New Roman" w:hAnsi="Times New Roman"/>
          <w:sz w:val="24"/>
          <w:szCs w:val="24"/>
          <w:u w:val="single"/>
        </w:rPr>
      </w:pPr>
      <w:r w:rsidRPr="002315B3">
        <w:rPr>
          <w:rFonts w:ascii="Times New Roman" w:hAnsi="Times New Roman"/>
          <w:sz w:val="24"/>
          <w:szCs w:val="24"/>
          <w:u w:val="single"/>
        </w:rPr>
        <w:t>Non-public servant employee’s salary is fully funded by non-exchequer sources &amp;</w:t>
      </w:r>
    </w:p>
    <w:p w14:paraId="64C0EDE0" w14:textId="77777777" w:rsidR="005E4AC2" w:rsidRPr="002315B3" w:rsidRDefault="005E4AC2" w:rsidP="005E4AC2">
      <w:pPr>
        <w:pStyle w:val="ListParagraph"/>
        <w:numPr>
          <w:ilvl w:val="1"/>
          <w:numId w:val="45"/>
        </w:numPr>
        <w:spacing w:after="270" w:line="276" w:lineRule="auto"/>
        <w:rPr>
          <w:rFonts w:ascii="Times New Roman" w:hAnsi="Times New Roman"/>
          <w:sz w:val="24"/>
          <w:szCs w:val="24"/>
          <w:u w:val="single"/>
        </w:rPr>
      </w:pPr>
      <w:r w:rsidRPr="002315B3">
        <w:rPr>
          <w:rFonts w:ascii="Times New Roman" w:hAnsi="Times New Roman"/>
          <w:sz w:val="24"/>
          <w:szCs w:val="24"/>
          <w:u w:val="single"/>
        </w:rPr>
        <w:t>Non-public servant employee’s salary is partially funded by exchequer and non-exchequer sources</w:t>
      </w:r>
    </w:p>
    <w:p w14:paraId="5872A5C8" w14:textId="77777777" w:rsidR="005E4AC2" w:rsidRPr="00C724A2" w:rsidRDefault="005E4AC2" w:rsidP="005E4AC2">
      <w:pPr>
        <w:spacing w:line="276" w:lineRule="auto"/>
        <w:jc w:val="both"/>
        <w:rPr>
          <w:rFonts w:ascii="Times New Roman" w:hAnsi="Times New Roman" w:cs="Times New Roman"/>
          <w:sz w:val="24"/>
          <w:szCs w:val="24"/>
        </w:rPr>
      </w:pPr>
      <w:r w:rsidRPr="00C724A2">
        <w:rPr>
          <w:rFonts w:ascii="Times New Roman" w:hAnsi="Times New Roman" w:cs="Times New Roman"/>
          <w:sz w:val="24"/>
          <w:szCs w:val="24"/>
        </w:rPr>
        <w:t xml:space="preserve">In the case </w:t>
      </w:r>
      <w:r>
        <w:rPr>
          <w:rFonts w:ascii="Times New Roman" w:hAnsi="Times New Roman" w:cs="Times New Roman"/>
          <w:sz w:val="24"/>
          <w:szCs w:val="24"/>
        </w:rPr>
        <w:t xml:space="preserve">where the </w:t>
      </w:r>
      <w:r w:rsidRPr="00C724A2">
        <w:rPr>
          <w:rFonts w:ascii="Times New Roman" w:hAnsi="Times New Roman" w:cs="Times New Roman"/>
          <w:sz w:val="24"/>
          <w:szCs w:val="24"/>
        </w:rPr>
        <w:t>employees</w:t>
      </w:r>
      <w:r>
        <w:rPr>
          <w:rFonts w:ascii="Times New Roman" w:hAnsi="Times New Roman" w:cs="Times New Roman"/>
          <w:sz w:val="24"/>
          <w:szCs w:val="24"/>
        </w:rPr>
        <w:t xml:space="preserve"> of public sector bodies</w:t>
      </w:r>
      <w:r w:rsidRPr="00C724A2">
        <w:rPr>
          <w:rFonts w:ascii="Times New Roman" w:hAnsi="Times New Roman" w:cs="Times New Roman"/>
          <w:sz w:val="24"/>
          <w:szCs w:val="24"/>
        </w:rPr>
        <w:t xml:space="preserve"> can continue with the service for which they were employed</w:t>
      </w:r>
      <w:r>
        <w:rPr>
          <w:rFonts w:ascii="Times New Roman" w:hAnsi="Times New Roman" w:cs="Times New Roman"/>
          <w:sz w:val="24"/>
          <w:szCs w:val="24"/>
        </w:rPr>
        <w:t>,</w:t>
      </w:r>
      <w:r w:rsidRPr="00C724A2">
        <w:rPr>
          <w:rFonts w:ascii="Times New Roman" w:hAnsi="Times New Roman" w:cs="Times New Roman"/>
          <w:sz w:val="24"/>
          <w:szCs w:val="24"/>
        </w:rPr>
        <w:t xml:space="preserve"> they should continue to </w:t>
      </w:r>
      <w:r>
        <w:rPr>
          <w:rFonts w:ascii="Times New Roman" w:hAnsi="Times New Roman" w:cs="Times New Roman"/>
          <w:sz w:val="24"/>
          <w:szCs w:val="24"/>
        </w:rPr>
        <w:t xml:space="preserve">be </w:t>
      </w:r>
      <w:r w:rsidRPr="00C724A2">
        <w:rPr>
          <w:rFonts w:ascii="Times New Roman" w:hAnsi="Times New Roman" w:cs="Times New Roman"/>
          <w:sz w:val="24"/>
          <w:szCs w:val="24"/>
        </w:rPr>
        <w:t xml:space="preserve">paid as normal from </w:t>
      </w:r>
      <w:r>
        <w:rPr>
          <w:rFonts w:ascii="Times New Roman" w:hAnsi="Times New Roman" w:cs="Times New Roman"/>
          <w:sz w:val="24"/>
          <w:szCs w:val="24"/>
        </w:rPr>
        <w:t>E</w:t>
      </w:r>
      <w:r w:rsidRPr="00C724A2">
        <w:rPr>
          <w:rFonts w:ascii="Times New Roman" w:hAnsi="Times New Roman" w:cs="Times New Roman"/>
          <w:sz w:val="24"/>
          <w:szCs w:val="24"/>
        </w:rPr>
        <w:t>xchequer</w:t>
      </w:r>
      <w:r>
        <w:rPr>
          <w:rFonts w:ascii="Times New Roman" w:hAnsi="Times New Roman" w:cs="Times New Roman"/>
          <w:sz w:val="24"/>
          <w:szCs w:val="24"/>
        </w:rPr>
        <w:t xml:space="preserve"> funds</w:t>
      </w:r>
      <w:r w:rsidRPr="00C724A2">
        <w:rPr>
          <w:rFonts w:ascii="Times New Roman" w:hAnsi="Times New Roman" w:cs="Times New Roman"/>
          <w:sz w:val="24"/>
          <w:szCs w:val="24"/>
        </w:rPr>
        <w:t>, non-</w:t>
      </w:r>
      <w:r>
        <w:rPr>
          <w:rFonts w:ascii="Times New Roman" w:hAnsi="Times New Roman" w:cs="Times New Roman"/>
          <w:sz w:val="24"/>
          <w:szCs w:val="24"/>
        </w:rPr>
        <w:t>E</w:t>
      </w:r>
      <w:r w:rsidRPr="00C724A2">
        <w:rPr>
          <w:rFonts w:ascii="Times New Roman" w:hAnsi="Times New Roman" w:cs="Times New Roman"/>
          <w:sz w:val="24"/>
          <w:szCs w:val="24"/>
        </w:rPr>
        <w:t xml:space="preserve">xchequer </w:t>
      </w:r>
      <w:r>
        <w:rPr>
          <w:rFonts w:ascii="Times New Roman" w:hAnsi="Times New Roman" w:cs="Times New Roman"/>
          <w:sz w:val="24"/>
          <w:szCs w:val="24"/>
        </w:rPr>
        <w:t xml:space="preserve">funds </w:t>
      </w:r>
      <w:r w:rsidRPr="00C724A2">
        <w:rPr>
          <w:rFonts w:ascii="Times New Roman" w:hAnsi="Times New Roman" w:cs="Times New Roman"/>
          <w:sz w:val="24"/>
          <w:szCs w:val="24"/>
        </w:rPr>
        <w:t>or a combination of both.</w:t>
      </w:r>
      <w:r>
        <w:rPr>
          <w:rFonts w:ascii="Times New Roman" w:hAnsi="Times New Roman" w:cs="Times New Roman"/>
          <w:sz w:val="24"/>
          <w:szCs w:val="24"/>
        </w:rPr>
        <w:t xml:space="preserve"> An exception to this arises where the COVID-19 financial supports from the exchequer has been provided (more details below).</w:t>
      </w:r>
    </w:p>
    <w:p w14:paraId="069D4614" w14:textId="77777777" w:rsidR="005E4AC2" w:rsidRPr="00C724A2" w:rsidRDefault="005E4AC2" w:rsidP="005E4AC2">
      <w:pPr>
        <w:spacing w:line="276" w:lineRule="auto"/>
        <w:jc w:val="both"/>
        <w:rPr>
          <w:rFonts w:ascii="Times New Roman" w:hAnsi="Times New Roman" w:cs="Times New Roman"/>
          <w:sz w:val="24"/>
          <w:szCs w:val="24"/>
        </w:rPr>
      </w:pPr>
      <w:r w:rsidRPr="00C724A2">
        <w:rPr>
          <w:rFonts w:ascii="Times New Roman" w:hAnsi="Times New Roman" w:cs="Times New Roman"/>
          <w:sz w:val="24"/>
          <w:szCs w:val="24"/>
        </w:rPr>
        <w:t xml:space="preserve">In the case where the employees </w:t>
      </w:r>
      <w:r>
        <w:rPr>
          <w:rFonts w:ascii="Times New Roman" w:hAnsi="Times New Roman" w:cs="Times New Roman"/>
          <w:sz w:val="24"/>
          <w:szCs w:val="24"/>
        </w:rPr>
        <w:t xml:space="preserve">of public sector bodies </w:t>
      </w:r>
      <w:r w:rsidRPr="00C724A2">
        <w:rPr>
          <w:rFonts w:ascii="Times New Roman" w:hAnsi="Times New Roman" w:cs="Times New Roman"/>
          <w:sz w:val="24"/>
          <w:szCs w:val="24"/>
        </w:rPr>
        <w:t>are unable to continue with the service for which they were employed</w:t>
      </w:r>
      <w:r>
        <w:rPr>
          <w:rFonts w:ascii="Times New Roman" w:hAnsi="Times New Roman" w:cs="Times New Roman"/>
          <w:sz w:val="24"/>
          <w:szCs w:val="24"/>
        </w:rPr>
        <w:t>, the following applicable points should be considered</w:t>
      </w:r>
      <w:r w:rsidRPr="00C724A2">
        <w:rPr>
          <w:rFonts w:ascii="Times New Roman" w:hAnsi="Times New Roman" w:cs="Times New Roman"/>
          <w:sz w:val="24"/>
          <w:szCs w:val="24"/>
        </w:rPr>
        <w:t xml:space="preserve">. </w:t>
      </w:r>
    </w:p>
    <w:p w14:paraId="4CDD45E9" w14:textId="77777777" w:rsidR="005E4AC2" w:rsidRPr="00886F74" w:rsidRDefault="005E4AC2" w:rsidP="005E4AC2">
      <w:pPr>
        <w:pStyle w:val="ListParagraph"/>
        <w:numPr>
          <w:ilvl w:val="0"/>
          <w:numId w:val="46"/>
        </w:numPr>
        <w:spacing w:after="270" w:line="276" w:lineRule="auto"/>
        <w:jc w:val="both"/>
        <w:rPr>
          <w:rFonts w:ascii="Times New Roman" w:hAnsi="Times New Roman"/>
          <w:sz w:val="24"/>
          <w:szCs w:val="24"/>
        </w:rPr>
      </w:pPr>
      <w:r>
        <w:rPr>
          <w:rFonts w:ascii="Times New Roman" w:hAnsi="Times New Roman"/>
          <w:sz w:val="24"/>
          <w:szCs w:val="24"/>
        </w:rPr>
        <w:t>Public s</w:t>
      </w:r>
      <w:r w:rsidRPr="00886F74">
        <w:rPr>
          <w:rFonts w:ascii="Times New Roman" w:hAnsi="Times New Roman"/>
          <w:sz w:val="24"/>
          <w:szCs w:val="24"/>
        </w:rPr>
        <w:t xml:space="preserve">ector bodies should look at each category of employee who are partially or fully funded by the </w:t>
      </w:r>
      <w:r>
        <w:rPr>
          <w:rFonts w:ascii="Times New Roman" w:hAnsi="Times New Roman"/>
          <w:sz w:val="24"/>
          <w:szCs w:val="24"/>
        </w:rPr>
        <w:t>E</w:t>
      </w:r>
      <w:r w:rsidRPr="00886F74">
        <w:rPr>
          <w:rFonts w:ascii="Times New Roman" w:hAnsi="Times New Roman"/>
          <w:sz w:val="24"/>
          <w:szCs w:val="24"/>
        </w:rPr>
        <w:t>xchequer or those who are fully funded from non-</w:t>
      </w:r>
      <w:r>
        <w:rPr>
          <w:rFonts w:ascii="Times New Roman" w:hAnsi="Times New Roman"/>
          <w:sz w:val="24"/>
          <w:szCs w:val="24"/>
        </w:rPr>
        <w:t>E</w:t>
      </w:r>
      <w:r w:rsidRPr="00886F74">
        <w:rPr>
          <w:rFonts w:ascii="Times New Roman" w:hAnsi="Times New Roman"/>
          <w:sz w:val="24"/>
          <w:szCs w:val="24"/>
        </w:rPr>
        <w:t xml:space="preserve">xchequer sources. </w:t>
      </w:r>
      <w:r>
        <w:rPr>
          <w:rFonts w:ascii="Times New Roman" w:hAnsi="Times New Roman"/>
          <w:sz w:val="24"/>
          <w:szCs w:val="24"/>
        </w:rPr>
        <w:t>T</w:t>
      </w:r>
      <w:r w:rsidRPr="00886F74">
        <w:rPr>
          <w:rFonts w:ascii="Times New Roman" w:hAnsi="Times New Roman"/>
          <w:sz w:val="24"/>
          <w:szCs w:val="24"/>
        </w:rPr>
        <w:t xml:space="preserve">he Department’s </w:t>
      </w:r>
      <w:r>
        <w:rPr>
          <w:rFonts w:ascii="Times New Roman" w:hAnsi="Times New Roman"/>
          <w:sz w:val="24"/>
          <w:szCs w:val="24"/>
        </w:rPr>
        <w:t xml:space="preserve">current </w:t>
      </w:r>
      <w:r w:rsidRPr="00886F74">
        <w:rPr>
          <w:rFonts w:ascii="Times New Roman" w:hAnsi="Times New Roman"/>
          <w:sz w:val="24"/>
          <w:szCs w:val="24"/>
        </w:rPr>
        <w:t xml:space="preserve">position </w:t>
      </w:r>
      <w:r>
        <w:rPr>
          <w:rFonts w:ascii="Times New Roman" w:hAnsi="Times New Roman"/>
          <w:sz w:val="24"/>
          <w:szCs w:val="24"/>
        </w:rPr>
        <w:t xml:space="preserve">is that </w:t>
      </w:r>
      <w:r w:rsidRPr="00886F74">
        <w:rPr>
          <w:rFonts w:ascii="Times New Roman" w:hAnsi="Times New Roman"/>
          <w:sz w:val="24"/>
          <w:szCs w:val="24"/>
        </w:rPr>
        <w:t>it intends to continue to pay existing grant commitments to public sector bodies</w:t>
      </w:r>
      <w:r>
        <w:rPr>
          <w:rFonts w:ascii="Times New Roman" w:hAnsi="Times New Roman"/>
          <w:sz w:val="24"/>
          <w:szCs w:val="24"/>
        </w:rPr>
        <w:t xml:space="preserve"> but these payments will be subject to review if a situation arises where actual savings over additional costs occur due to the health crisis</w:t>
      </w:r>
      <w:r w:rsidRPr="00886F74">
        <w:rPr>
          <w:rFonts w:ascii="Times New Roman" w:hAnsi="Times New Roman"/>
          <w:sz w:val="24"/>
          <w:szCs w:val="24"/>
        </w:rPr>
        <w:t xml:space="preserve">. Therefore, </w:t>
      </w:r>
      <w:r>
        <w:rPr>
          <w:rFonts w:ascii="Times New Roman" w:hAnsi="Times New Roman"/>
          <w:sz w:val="24"/>
          <w:szCs w:val="24"/>
        </w:rPr>
        <w:t>E</w:t>
      </w:r>
      <w:r w:rsidRPr="00886F74">
        <w:rPr>
          <w:rFonts w:ascii="Times New Roman" w:hAnsi="Times New Roman"/>
          <w:sz w:val="24"/>
          <w:szCs w:val="24"/>
        </w:rPr>
        <w:t xml:space="preserve">xchequer funding for partially or fully </w:t>
      </w:r>
      <w:r w:rsidRPr="00886F74">
        <w:rPr>
          <w:rFonts w:ascii="Times New Roman" w:hAnsi="Times New Roman"/>
          <w:sz w:val="24"/>
          <w:szCs w:val="24"/>
        </w:rPr>
        <w:lastRenderedPageBreak/>
        <w:t>funded posts will continue to be provided</w:t>
      </w:r>
      <w:r>
        <w:rPr>
          <w:rFonts w:ascii="Times New Roman" w:hAnsi="Times New Roman"/>
          <w:sz w:val="24"/>
          <w:szCs w:val="24"/>
        </w:rPr>
        <w:t xml:space="preserve"> at this stage</w:t>
      </w:r>
      <w:r w:rsidRPr="00886F74">
        <w:rPr>
          <w:rFonts w:ascii="Times New Roman" w:hAnsi="Times New Roman"/>
          <w:sz w:val="24"/>
          <w:szCs w:val="24"/>
        </w:rPr>
        <w:t>. However, DES does not have any additional expenditure available for grant payments to support the non-exchequer costs of partially exchequer or fully non-exchequer funded posts.</w:t>
      </w:r>
    </w:p>
    <w:p w14:paraId="5FCFD602" w14:textId="77777777" w:rsidR="005E4AC2" w:rsidRDefault="005E4AC2" w:rsidP="005E4AC2">
      <w:pPr>
        <w:pStyle w:val="ListParagraph"/>
        <w:spacing w:line="276" w:lineRule="auto"/>
        <w:jc w:val="both"/>
        <w:rPr>
          <w:rFonts w:ascii="Times New Roman" w:hAnsi="Times New Roman"/>
          <w:sz w:val="24"/>
          <w:szCs w:val="24"/>
        </w:rPr>
      </w:pPr>
    </w:p>
    <w:p w14:paraId="4351E6D0" w14:textId="057A8D4B" w:rsidR="005E4AC2" w:rsidRPr="00886F74" w:rsidRDefault="005E4AC2" w:rsidP="005E4AC2">
      <w:pPr>
        <w:pStyle w:val="ListParagraph"/>
        <w:numPr>
          <w:ilvl w:val="0"/>
          <w:numId w:val="46"/>
        </w:numPr>
        <w:spacing w:after="270" w:line="276" w:lineRule="auto"/>
        <w:jc w:val="both"/>
        <w:rPr>
          <w:rFonts w:ascii="Times New Roman" w:hAnsi="Times New Roman"/>
          <w:sz w:val="24"/>
          <w:szCs w:val="24"/>
        </w:rPr>
      </w:pPr>
      <w:r>
        <w:rPr>
          <w:rFonts w:ascii="Times New Roman" w:hAnsi="Times New Roman"/>
          <w:sz w:val="24"/>
          <w:szCs w:val="24"/>
        </w:rPr>
        <w:t>P</w:t>
      </w:r>
      <w:r w:rsidRPr="00886F74">
        <w:rPr>
          <w:rFonts w:ascii="Times New Roman" w:hAnsi="Times New Roman"/>
          <w:sz w:val="24"/>
          <w:szCs w:val="24"/>
        </w:rPr>
        <w:t>ublic sector bod</w:t>
      </w:r>
      <w:r>
        <w:rPr>
          <w:rFonts w:ascii="Times New Roman" w:hAnsi="Times New Roman"/>
          <w:sz w:val="24"/>
          <w:szCs w:val="24"/>
        </w:rPr>
        <w:t>ies</w:t>
      </w:r>
      <w:r w:rsidRPr="00886F74">
        <w:rPr>
          <w:rFonts w:ascii="Times New Roman" w:hAnsi="Times New Roman"/>
          <w:sz w:val="24"/>
          <w:szCs w:val="24"/>
        </w:rPr>
        <w:t xml:space="preserve"> should review the contracts of employment with employees who are partially exchequer or fully non-exchequer funded as this is likely to determine the options available</w:t>
      </w:r>
      <w:r>
        <w:rPr>
          <w:rFonts w:ascii="Times New Roman" w:hAnsi="Times New Roman"/>
          <w:sz w:val="24"/>
          <w:szCs w:val="24"/>
        </w:rPr>
        <w:t xml:space="preserve"> along with taking into consideration the overall exchequer cost implications of each option</w:t>
      </w:r>
      <w:r w:rsidRPr="00886F74">
        <w:rPr>
          <w:rFonts w:ascii="Times New Roman" w:hAnsi="Times New Roman"/>
          <w:sz w:val="24"/>
          <w:szCs w:val="24"/>
        </w:rPr>
        <w:t xml:space="preserve">. </w:t>
      </w:r>
      <w:r>
        <w:rPr>
          <w:rFonts w:ascii="Times New Roman" w:hAnsi="Times New Roman"/>
          <w:sz w:val="24"/>
          <w:szCs w:val="24"/>
        </w:rPr>
        <w:t>P</w:t>
      </w:r>
      <w:r w:rsidRPr="00886F74">
        <w:rPr>
          <w:rFonts w:ascii="Times New Roman" w:hAnsi="Times New Roman"/>
          <w:sz w:val="24"/>
          <w:szCs w:val="24"/>
        </w:rPr>
        <w:t xml:space="preserve">ublic sector bodies </w:t>
      </w:r>
      <w:r>
        <w:rPr>
          <w:rFonts w:ascii="Times New Roman" w:hAnsi="Times New Roman"/>
          <w:sz w:val="24"/>
          <w:szCs w:val="24"/>
        </w:rPr>
        <w:t xml:space="preserve">are </w:t>
      </w:r>
      <w:r w:rsidRPr="00886F74">
        <w:rPr>
          <w:rFonts w:ascii="Times New Roman" w:hAnsi="Times New Roman"/>
          <w:sz w:val="24"/>
          <w:szCs w:val="24"/>
        </w:rPr>
        <w:t>advised to take legal advice to support good decision making in this complex area</w:t>
      </w:r>
      <w:r>
        <w:rPr>
          <w:rFonts w:ascii="Times New Roman" w:hAnsi="Times New Roman"/>
          <w:sz w:val="24"/>
          <w:szCs w:val="24"/>
        </w:rPr>
        <w:t>, including justifications required to support any approach to differential treatment of employees</w:t>
      </w:r>
      <w:r w:rsidRPr="00886F74">
        <w:rPr>
          <w:rFonts w:ascii="Times New Roman" w:hAnsi="Times New Roman"/>
          <w:sz w:val="24"/>
          <w:szCs w:val="24"/>
        </w:rPr>
        <w:t xml:space="preserve">. </w:t>
      </w:r>
    </w:p>
    <w:p w14:paraId="38109C78" w14:textId="77777777" w:rsidR="005E4AC2" w:rsidRDefault="005E4AC2" w:rsidP="005E4AC2">
      <w:pPr>
        <w:pStyle w:val="ListParagraph"/>
        <w:spacing w:line="276" w:lineRule="auto"/>
        <w:jc w:val="both"/>
        <w:rPr>
          <w:rFonts w:ascii="Times New Roman" w:hAnsi="Times New Roman"/>
          <w:sz w:val="24"/>
          <w:szCs w:val="24"/>
        </w:rPr>
      </w:pPr>
    </w:p>
    <w:p w14:paraId="704F7870" w14:textId="77777777" w:rsidR="005E4AC2" w:rsidRPr="00886F74" w:rsidRDefault="005E4AC2" w:rsidP="005E4AC2">
      <w:pPr>
        <w:pStyle w:val="ListParagraph"/>
        <w:numPr>
          <w:ilvl w:val="0"/>
          <w:numId w:val="46"/>
        </w:numPr>
        <w:spacing w:after="270" w:line="276" w:lineRule="auto"/>
        <w:jc w:val="both"/>
        <w:rPr>
          <w:rFonts w:ascii="Times New Roman" w:hAnsi="Times New Roman"/>
          <w:sz w:val="24"/>
          <w:szCs w:val="24"/>
        </w:rPr>
      </w:pPr>
      <w:r w:rsidRPr="00886F74">
        <w:rPr>
          <w:rFonts w:ascii="Times New Roman" w:hAnsi="Times New Roman"/>
          <w:sz w:val="24"/>
          <w:szCs w:val="24"/>
        </w:rPr>
        <w:t>The arrangements that are made for those individuals when they are not in a permanent contract of service</w:t>
      </w:r>
      <w:r>
        <w:rPr>
          <w:rFonts w:ascii="Times New Roman" w:hAnsi="Times New Roman"/>
          <w:sz w:val="24"/>
          <w:szCs w:val="24"/>
        </w:rPr>
        <w:t xml:space="preserve"> </w:t>
      </w:r>
      <w:r w:rsidRPr="00886F74">
        <w:rPr>
          <w:rFonts w:ascii="Times New Roman" w:hAnsi="Times New Roman"/>
          <w:sz w:val="24"/>
          <w:szCs w:val="24"/>
        </w:rPr>
        <w:t xml:space="preserve">should also be considered. For example, </w:t>
      </w:r>
      <w:r>
        <w:rPr>
          <w:rFonts w:ascii="Times New Roman" w:hAnsi="Times New Roman"/>
          <w:sz w:val="24"/>
          <w:szCs w:val="24"/>
        </w:rPr>
        <w:t>employees</w:t>
      </w:r>
      <w:r w:rsidRPr="00886F74">
        <w:rPr>
          <w:rFonts w:ascii="Times New Roman" w:hAnsi="Times New Roman"/>
          <w:sz w:val="24"/>
          <w:szCs w:val="24"/>
        </w:rPr>
        <w:t xml:space="preserve"> who would not otherwise have a contract of employment at the end of the school year and would be eligible for Job Seekers benefit during each school break, then it may be possible to arrange to temporarily lay off those staff so that they could avail of either normal DEASP unemployment benefits or COVID-19 payments as appropriate</w:t>
      </w:r>
      <w:r>
        <w:rPr>
          <w:rFonts w:ascii="Times New Roman" w:hAnsi="Times New Roman"/>
          <w:sz w:val="24"/>
          <w:szCs w:val="24"/>
        </w:rPr>
        <w:t>, with overall exchequer cost implications also taken into consideration in such circumstances</w:t>
      </w:r>
      <w:r w:rsidRPr="00886F74">
        <w:rPr>
          <w:rFonts w:ascii="Times New Roman" w:hAnsi="Times New Roman"/>
          <w:sz w:val="24"/>
          <w:szCs w:val="24"/>
        </w:rPr>
        <w:t>. Alternatively consideration of offering a 3 day week or other reduced work pattern to a number of affected employees which would assist to better manage the financial circumstances in the public sector body but also retain a link with the individual employees such that, if the restriction were lifted, these employees would be available more immediately to support business needs</w:t>
      </w:r>
      <w:r>
        <w:rPr>
          <w:rFonts w:ascii="Times New Roman" w:hAnsi="Times New Roman"/>
          <w:sz w:val="24"/>
          <w:szCs w:val="24"/>
        </w:rPr>
        <w:t>, especially if circumstances arise where certain employees may be needed to work non-standard periods (e.g. schools operating in summer break months)</w:t>
      </w:r>
      <w:r w:rsidRPr="00886F74">
        <w:rPr>
          <w:rFonts w:ascii="Times New Roman" w:hAnsi="Times New Roman"/>
          <w:sz w:val="24"/>
          <w:szCs w:val="24"/>
        </w:rPr>
        <w:t xml:space="preserve">. </w:t>
      </w:r>
    </w:p>
    <w:p w14:paraId="33CC6084" w14:textId="77777777" w:rsidR="005E4AC2" w:rsidRPr="00783E60" w:rsidRDefault="005E4AC2" w:rsidP="005E4AC2">
      <w:pPr>
        <w:pStyle w:val="ListParagraph"/>
        <w:spacing w:line="276" w:lineRule="auto"/>
        <w:jc w:val="both"/>
        <w:rPr>
          <w:rFonts w:ascii="Times New Roman" w:hAnsi="Times New Roman"/>
          <w:sz w:val="24"/>
          <w:szCs w:val="24"/>
        </w:rPr>
      </w:pPr>
    </w:p>
    <w:p w14:paraId="141490F9" w14:textId="77777777" w:rsidR="00DA2BF3" w:rsidRDefault="005E4AC2" w:rsidP="00DA2BF3">
      <w:pPr>
        <w:pStyle w:val="ListParagraph"/>
        <w:numPr>
          <w:ilvl w:val="0"/>
          <w:numId w:val="46"/>
        </w:numPr>
        <w:spacing w:after="270" w:line="276" w:lineRule="auto"/>
        <w:jc w:val="both"/>
        <w:rPr>
          <w:rFonts w:ascii="Times New Roman" w:hAnsi="Times New Roman"/>
          <w:sz w:val="24"/>
          <w:szCs w:val="24"/>
        </w:rPr>
      </w:pPr>
      <w:r w:rsidRPr="00783E60">
        <w:rPr>
          <w:rFonts w:ascii="Times New Roman" w:hAnsi="Times New Roman"/>
          <w:sz w:val="24"/>
          <w:szCs w:val="24"/>
        </w:rPr>
        <w:t xml:space="preserve">If the employment contracts are such that the public sector body cannot make an arrangement to reduce pay (in line with the grant funding available), by reducing work to a level that can be afforded such as </w:t>
      </w:r>
      <w:r>
        <w:rPr>
          <w:rFonts w:ascii="Times New Roman" w:hAnsi="Times New Roman"/>
          <w:sz w:val="24"/>
          <w:szCs w:val="24"/>
        </w:rPr>
        <w:t>a 3</w:t>
      </w:r>
      <w:r w:rsidRPr="00783E60">
        <w:rPr>
          <w:rFonts w:ascii="Times New Roman" w:hAnsi="Times New Roman"/>
          <w:sz w:val="24"/>
          <w:szCs w:val="24"/>
        </w:rPr>
        <w:t xml:space="preserve"> day week or otherwise arrange a temporary layoff, the public sector </w:t>
      </w:r>
      <w:r>
        <w:rPr>
          <w:rFonts w:ascii="Times New Roman" w:hAnsi="Times New Roman"/>
          <w:sz w:val="24"/>
          <w:szCs w:val="24"/>
        </w:rPr>
        <w:t xml:space="preserve">body </w:t>
      </w:r>
      <w:r w:rsidRPr="00783E60">
        <w:rPr>
          <w:rFonts w:ascii="Times New Roman" w:hAnsi="Times New Roman"/>
          <w:sz w:val="24"/>
          <w:szCs w:val="24"/>
        </w:rPr>
        <w:t>may need to continue to carry the cost of these salaries.  While there will be funding shortfalls in such circumstances, there may also be other savings</w:t>
      </w:r>
      <w:r>
        <w:rPr>
          <w:rFonts w:ascii="Times New Roman" w:hAnsi="Times New Roman"/>
          <w:sz w:val="24"/>
          <w:szCs w:val="24"/>
        </w:rPr>
        <w:t xml:space="preserve"> (COVID-</w:t>
      </w:r>
      <w:r w:rsidRPr="00783E60">
        <w:rPr>
          <w:rFonts w:ascii="Times New Roman" w:hAnsi="Times New Roman"/>
          <w:sz w:val="24"/>
          <w:szCs w:val="24"/>
        </w:rPr>
        <w:t xml:space="preserve">19 or otherwise) in areas which may be utilised to offset the funding shortfalls. However, if unable to generate sufficient savings, it will present funding challenges and could result in creating/increasing deficits and cash flow difficulties for public sector bodies. </w:t>
      </w:r>
    </w:p>
    <w:p w14:paraId="4EF47EF3" w14:textId="77777777" w:rsidR="00DA2BF3" w:rsidRPr="00DA2BF3" w:rsidRDefault="00DA2BF3" w:rsidP="00DA2BF3">
      <w:pPr>
        <w:pStyle w:val="ListParagraph"/>
        <w:rPr>
          <w:rFonts w:ascii="Times New Roman" w:hAnsi="Times New Roman"/>
          <w:sz w:val="24"/>
          <w:szCs w:val="24"/>
        </w:rPr>
      </w:pPr>
    </w:p>
    <w:p w14:paraId="5CD882D2" w14:textId="740A6C95" w:rsidR="005E4AC2" w:rsidRPr="00DA2BF3" w:rsidRDefault="005E4AC2" w:rsidP="00DA2BF3">
      <w:pPr>
        <w:pStyle w:val="ListParagraph"/>
        <w:numPr>
          <w:ilvl w:val="0"/>
          <w:numId w:val="46"/>
        </w:numPr>
        <w:spacing w:after="270" w:line="276" w:lineRule="auto"/>
        <w:jc w:val="both"/>
        <w:rPr>
          <w:rFonts w:ascii="Times New Roman" w:hAnsi="Times New Roman"/>
          <w:sz w:val="24"/>
          <w:szCs w:val="24"/>
        </w:rPr>
      </w:pPr>
      <w:r w:rsidRPr="00DA2BF3">
        <w:rPr>
          <w:rFonts w:ascii="Times New Roman" w:hAnsi="Times New Roman"/>
          <w:sz w:val="24"/>
          <w:szCs w:val="24"/>
        </w:rPr>
        <w:lastRenderedPageBreak/>
        <w:t>For example, two caretakers employed by a school, and their salaries are funded partially by DES grants and partially by income from having the school open to outside organisations in the evening. The income stream provided by outside organisations for use of the school premises no longer exists. Therefore, if the employment contracts don’t clearly identify one of the caretakers as having their salary funded by this source, the school is likely to have to continue to pay both caretakers. This could give rise to financial difficulty in some cases where offsetting savings have not materialised.</w:t>
      </w:r>
    </w:p>
    <w:p w14:paraId="791F9079" w14:textId="77777777" w:rsidR="005E4AC2" w:rsidRDefault="005E4AC2" w:rsidP="005E4AC2">
      <w:pPr>
        <w:pStyle w:val="ListParagraph"/>
        <w:spacing w:line="276" w:lineRule="auto"/>
        <w:jc w:val="both"/>
        <w:rPr>
          <w:rFonts w:ascii="Times New Roman" w:hAnsi="Times New Roman"/>
          <w:sz w:val="24"/>
          <w:szCs w:val="24"/>
        </w:rPr>
      </w:pPr>
    </w:p>
    <w:p w14:paraId="4AF65829" w14:textId="77777777" w:rsidR="005E4AC2" w:rsidRPr="0045655E" w:rsidRDefault="005E4AC2" w:rsidP="005E4AC2">
      <w:pPr>
        <w:pStyle w:val="ListParagraph"/>
        <w:numPr>
          <w:ilvl w:val="0"/>
          <w:numId w:val="46"/>
        </w:numPr>
        <w:spacing w:after="270" w:line="276" w:lineRule="auto"/>
        <w:jc w:val="both"/>
        <w:rPr>
          <w:rFonts w:ascii="Times New Roman" w:hAnsi="Times New Roman"/>
          <w:sz w:val="24"/>
          <w:szCs w:val="24"/>
        </w:rPr>
      </w:pPr>
      <w:r w:rsidRPr="00886F74">
        <w:rPr>
          <w:rFonts w:ascii="Times New Roman" w:hAnsi="Times New Roman"/>
          <w:sz w:val="24"/>
          <w:szCs w:val="24"/>
        </w:rPr>
        <w:t xml:space="preserve">Like all unexpected costs which can arise in any financial year, the DES would then engage with the individual public sector body or sector in general on the basis of those who are experiencing particular challenges and manage them as best as possible within the resources </w:t>
      </w:r>
      <w:r w:rsidRPr="0045655E">
        <w:rPr>
          <w:rFonts w:ascii="Times New Roman" w:hAnsi="Times New Roman"/>
          <w:sz w:val="24"/>
          <w:szCs w:val="24"/>
        </w:rPr>
        <w:t xml:space="preserve">available. </w:t>
      </w:r>
      <w:r w:rsidRPr="0045655E">
        <w:rPr>
          <w:rStyle w:val="FootnoteReference"/>
          <w:rFonts w:ascii="Times New Roman" w:eastAsiaTheme="majorEastAsia" w:hAnsi="Times New Roman"/>
          <w:sz w:val="24"/>
          <w:szCs w:val="24"/>
        </w:rPr>
        <w:footnoteReference w:id="3"/>
      </w:r>
    </w:p>
    <w:p w14:paraId="67A0ED71" w14:textId="77777777" w:rsidR="005E4AC2" w:rsidRDefault="005E4AC2" w:rsidP="005E4AC2">
      <w:pPr>
        <w:spacing w:line="276" w:lineRule="auto"/>
        <w:jc w:val="both"/>
        <w:rPr>
          <w:rFonts w:ascii="Times New Roman" w:hAnsi="Times New Roman" w:cs="Times New Roman"/>
          <w:sz w:val="24"/>
          <w:szCs w:val="24"/>
        </w:rPr>
      </w:pPr>
      <w:r>
        <w:rPr>
          <w:rFonts w:ascii="Times New Roman" w:hAnsi="Times New Roman" w:cs="Times New Roman"/>
          <w:sz w:val="24"/>
          <w:szCs w:val="24"/>
        </w:rPr>
        <w:t>As outlined earlier under the contract for services section, DPER has indicated that as a general principle, there should be no double state funding of services so that it is not possible for a public sector body to obtain payment under the COVID-19 financial supports and still be paid the full pay allocation under their publicly funded grant. This is to ensure that no employer or employee is paid more than 100% of the employee wages from the various state funding arrangements (COVID-19 financial supports + public grant payment should be =or&lt; 100%).</w:t>
      </w:r>
    </w:p>
    <w:p w14:paraId="6187C80A" w14:textId="77777777" w:rsidR="005E4AC2" w:rsidRDefault="005E4AC2" w:rsidP="005E4AC2">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In the case of a public sector body availing of the WSS scheme, the granting body would need to be informed if the body availed of the WSS for the employees if grant funded. If so, the granting body should reduce its public grant funding accordingly to the public sector body, in a similar manner to the example already provided under the Contract for Service section above. </w:t>
      </w:r>
    </w:p>
    <w:p w14:paraId="31121421" w14:textId="027BBCE4" w:rsidR="005E4AC2" w:rsidRDefault="005E4AC2" w:rsidP="005E4AC2">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It is envisaged that initial controls in this area would be in the form of a self-declaration by the public sector body that could be subject to audit at a later date. </w:t>
      </w:r>
    </w:p>
    <w:sectPr w:rsidR="005E4AC2" w:rsidSect="00CB1F2A">
      <w:headerReference w:type="default" r:id="rId8"/>
      <w:footerReference w:type="even" r:id="rId9"/>
      <w:footerReference w:type="default" r:id="rId10"/>
      <w:headerReference w:type="first" r:id="rId11"/>
      <w:footerReference w:type="first" r:id="rId12"/>
      <w:pgSz w:w="11907" w:h="16839" w:code="9"/>
      <w:pgMar w:top="2835" w:right="1134" w:bottom="1418" w:left="2155" w:header="680" w:footer="1134"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49E4DF" w14:textId="77777777" w:rsidR="0053560A" w:rsidRDefault="0053560A">
      <w:pPr>
        <w:spacing w:after="0" w:line="240" w:lineRule="auto"/>
      </w:pPr>
      <w:r>
        <w:separator/>
      </w:r>
    </w:p>
    <w:p w14:paraId="38DDFAE1" w14:textId="77777777" w:rsidR="0053560A" w:rsidRDefault="0053560A"/>
  </w:endnote>
  <w:endnote w:type="continuationSeparator" w:id="0">
    <w:p w14:paraId="732F8DC5" w14:textId="77777777" w:rsidR="0053560A" w:rsidRDefault="0053560A">
      <w:pPr>
        <w:spacing w:after="0" w:line="240" w:lineRule="auto"/>
      </w:pPr>
      <w:r>
        <w:continuationSeparator/>
      </w:r>
    </w:p>
    <w:p w14:paraId="025EB6C1" w14:textId="77777777" w:rsidR="0053560A" w:rsidRDefault="005356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charset w:val="4D"/>
    <w:family w:val="swiss"/>
    <w:pitch w:val="variable"/>
    <w:sig w:usb0="800000AF" w:usb1="4000604A" w:usb2="00000000" w:usb3="00000000" w:csb0="00000001" w:csb1="00000000"/>
  </w:font>
  <w:font w:name="Calibri">
    <w:panose1 w:val="020F0502020204030204"/>
    <w:charset w:val="00"/>
    <w:family w:val="swiss"/>
    <w:pitch w:val="variable"/>
    <w:sig w:usb0="E0002AFF" w:usb1="C000247B" w:usb2="00000009" w:usb3="00000000" w:csb0="000001FF" w:csb1="00000000"/>
  </w:font>
  <w:font w:name="Lato Black">
    <w:altName w:val="Times New Roman"/>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DengXian Light">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8B5716" w14:textId="77777777" w:rsidR="00F041CB" w:rsidRDefault="00F041CB" w:rsidP="000A16A5">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8989F56" w14:textId="77777777" w:rsidR="00F041CB" w:rsidRDefault="00F041CB" w:rsidP="005B5C2B">
    <w:pPr>
      <w:pStyle w:val="Footer"/>
      <w:ind w:firstLine="360"/>
      <w:rPr>
        <w:rStyle w:val="PageNumber"/>
      </w:rPr>
    </w:pPr>
  </w:p>
  <w:p w14:paraId="722596DB" w14:textId="77777777" w:rsidR="00F041CB" w:rsidRDefault="00F041CB" w:rsidP="00335CDC">
    <w:pPr>
      <w:pStyle w:val="Footer"/>
    </w:pPr>
  </w:p>
  <w:p w14:paraId="27194FFD" w14:textId="77777777" w:rsidR="00F041CB" w:rsidRDefault="00F041CB"/>
  <w:p w14:paraId="111E5D47" w14:textId="77777777" w:rsidR="00F041CB" w:rsidRDefault="00F041CB"/>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26E6CD" w14:textId="77777777" w:rsidR="00F041CB" w:rsidRPr="005B5C2B" w:rsidRDefault="00F041CB" w:rsidP="006F7247">
    <w:pPr>
      <w:pStyle w:val="Footer"/>
      <w:framePr w:wrap="none" w:vAnchor="text" w:hAnchor="margin" w:y="366"/>
      <w:spacing w:line="60" w:lineRule="exact"/>
      <w:rPr>
        <w:rStyle w:val="PageNumber"/>
        <w:spacing w:val="-40"/>
      </w:rPr>
    </w:pPr>
    <w:r w:rsidRPr="005B5C2B">
      <w:rPr>
        <w:rStyle w:val="PageNumber"/>
        <w:spacing w:val="-40"/>
      </w:rPr>
      <w:t>——</w:t>
    </w:r>
  </w:p>
  <w:p w14:paraId="77710868" w14:textId="57C34301" w:rsidR="00F041CB" w:rsidRDefault="00F041CB" w:rsidP="006F7247">
    <w:pPr>
      <w:pStyle w:val="Footer"/>
      <w:framePr w:wrap="none" w:vAnchor="text" w:hAnchor="margin" w:y="366"/>
      <w:spacing w:line="60" w:lineRule="exact"/>
      <w:rPr>
        <w:rStyle w:val="PageNumber"/>
      </w:rPr>
    </w:pPr>
    <w:r>
      <w:rPr>
        <w:rStyle w:val="PageNumber"/>
      </w:rPr>
      <w:fldChar w:fldCharType="begin"/>
    </w:r>
    <w:r>
      <w:rPr>
        <w:rStyle w:val="PageNumber"/>
      </w:rPr>
      <w:instrText xml:space="preserve">PAGE  </w:instrText>
    </w:r>
    <w:r>
      <w:rPr>
        <w:rStyle w:val="PageNumber"/>
      </w:rPr>
      <w:fldChar w:fldCharType="separate"/>
    </w:r>
    <w:r w:rsidR="000F72FD">
      <w:rPr>
        <w:rStyle w:val="PageNumber"/>
        <w:noProof/>
      </w:rPr>
      <w:t>2</w:t>
    </w:r>
    <w:r>
      <w:rPr>
        <w:rStyle w:val="PageNumber"/>
      </w:rPr>
      <w:fldChar w:fldCharType="end"/>
    </w:r>
  </w:p>
  <w:p w14:paraId="465C77FD" w14:textId="77777777" w:rsidR="00F041CB" w:rsidRDefault="00F041CB" w:rsidP="005B5C2B">
    <w:pPr>
      <w:pStyle w:val="Footer"/>
    </w:pPr>
  </w:p>
  <w:p w14:paraId="647408A3" w14:textId="77777777" w:rsidR="00F041CB" w:rsidRDefault="00F041CB"/>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0E4C68" w14:textId="1593C526" w:rsidR="00F041CB" w:rsidRPr="00D76841" w:rsidRDefault="00BA75A8" w:rsidP="00CB1F2A">
    <w:pPr>
      <w:pStyle w:val="EndorsementText"/>
    </w:pPr>
    <w:r>
      <w:t>23</w:t>
    </w:r>
    <w:r w:rsidRPr="00BA75A8">
      <w:rPr>
        <w:vertAlign w:val="superscript"/>
      </w:rPr>
      <w:t>rd</w:t>
    </w:r>
    <w:r>
      <w:t xml:space="preserve"> </w:t>
    </w:r>
    <w:r w:rsidR="00F041CB">
      <w:t>April 2020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35074A" w14:textId="77777777" w:rsidR="0053560A" w:rsidRDefault="0053560A">
      <w:pPr>
        <w:spacing w:after="0" w:line="240" w:lineRule="auto"/>
      </w:pPr>
      <w:r>
        <w:separator/>
      </w:r>
    </w:p>
    <w:p w14:paraId="0B656339" w14:textId="77777777" w:rsidR="0053560A" w:rsidRDefault="0053560A"/>
  </w:footnote>
  <w:footnote w:type="continuationSeparator" w:id="0">
    <w:p w14:paraId="44F003E2" w14:textId="77777777" w:rsidR="0053560A" w:rsidRDefault="0053560A">
      <w:pPr>
        <w:spacing w:after="0" w:line="240" w:lineRule="auto"/>
      </w:pPr>
      <w:r>
        <w:continuationSeparator/>
      </w:r>
    </w:p>
    <w:p w14:paraId="46D1BBE9" w14:textId="77777777" w:rsidR="0053560A" w:rsidRDefault="0053560A"/>
  </w:footnote>
  <w:footnote w:id="1">
    <w:p w14:paraId="60D208A7" w14:textId="39F60C50" w:rsidR="005E4AC2" w:rsidRPr="008E6965" w:rsidRDefault="005E4AC2" w:rsidP="005E4AC2">
      <w:pPr>
        <w:spacing w:after="160" w:line="259" w:lineRule="auto"/>
        <w:rPr>
          <w:rFonts w:ascii="Times New Roman" w:hAnsi="Times New Roman" w:cs="Times New Roman"/>
          <w:sz w:val="20"/>
          <w:szCs w:val="20"/>
        </w:rPr>
      </w:pPr>
      <w:r w:rsidRPr="008E6965">
        <w:rPr>
          <w:rStyle w:val="FootnoteReference"/>
          <w:rFonts w:ascii="Times New Roman" w:hAnsi="Times New Roman" w:cs="Times New Roman"/>
          <w:sz w:val="20"/>
          <w:szCs w:val="20"/>
        </w:rPr>
        <w:footnoteRef/>
      </w:r>
      <w:r w:rsidRPr="008E6965">
        <w:rPr>
          <w:rFonts w:ascii="Times New Roman" w:hAnsi="Times New Roman" w:cs="Times New Roman"/>
          <w:sz w:val="20"/>
          <w:szCs w:val="20"/>
        </w:rPr>
        <w:t xml:space="preserve"> The issues and applicable points outlined for contract for service should also be considered in terms of funding grant aided non-government </w:t>
      </w:r>
      <w:proofErr w:type="spellStart"/>
      <w:r w:rsidRPr="008E6965">
        <w:rPr>
          <w:rFonts w:ascii="Times New Roman" w:hAnsi="Times New Roman" w:cs="Times New Roman"/>
          <w:sz w:val="20"/>
          <w:szCs w:val="20"/>
        </w:rPr>
        <w:t>organisations</w:t>
      </w:r>
      <w:proofErr w:type="spellEnd"/>
      <w:r w:rsidRPr="008E6965">
        <w:rPr>
          <w:rFonts w:ascii="Times New Roman" w:hAnsi="Times New Roman" w:cs="Times New Roman"/>
          <w:sz w:val="20"/>
          <w:szCs w:val="20"/>
        </w:rPr>
        <w:t xml:space="preserve">. It is also worth noting that Public Private Partnership (PPP) contracts are not fully deemed contracts for service and such contracts </w:t>
      </w:r>
      <w:r w:rsidR="008E6965" w:rsidRPr="008E6965">
        <w:rPr>
          <w:rFonts w:ascii="Times New Roman" w:hAnsi="Times New Roman" w:cs="Times New Roman"/>
          <w:sz w:val="20"/>
          <w:szCs w:val="20"/>
        </w:rPr>
        <w:t xml:space="preserve">should </w:t>
      </w:r>
      <w:r w:rsidRPr="008E6965">
        <w:rPr>
          <w:rFonts w:ascii="Times New Roman" w:hAnsi="Times New Roman" w:cs="Times New Roman"/>
          <w:sz w:val="20"/>
          <w:szCs w:val="20"/>
        </w:rPr>
        <w:t xml:space="preserve">be considered separately. </w:t>
      </w:r>
    </w:p>
    <w:p w14:paraId="74A2CD73" w14:textId="77777777" w:rsidR="005E4AC2" w:rsidRDefault="005E4AC2" w:rsidP="005E4AC2">
      <w:pPr>
        <w:pStyle w:val="FootnoteText"/>
      </w:pPr>
    </w:p>
  </w:footnote>
  <w:footnote w:id="2">
    <w:p w14:paraId="24B0AC5D" w14:textId="77777777" w:rsidR="005E4AC2" w:rsidRPr="00DA2BF3" w:rsidRDefault="005E4AC2" w:rsidP="005E4AC2">
      <w:pPr>
        <w:pStyle w:val="FootnoteText"/>
        <w:rPr>
          <w:sz w:val="20"/>
          <w:szCs w:val="20"/>
        </w:rPr>
      </w:pPr>
      <w:r>
        <w:rPr>
          <w:rStyle w:val="FootnoteReference"/>
        </w:rPr>
        <w:footnoteRef/>
      </w:r>
      <w:r>
        <w:t xml:space="preserve"> </w:t>
      </w:r>
      <w:r w:rsidRPr="008E6965">
        <w:rPr>
          <w:rFonts w:ascii="Times New Roman" w:hAnsi="Times New Roman" w:cs="Times New Roman"/>
          <w:sz w:val="20"/>
          <w:szCs w:val="20"/>
        </w:rPr>
        <w:t>Examples of public and non-public servant employees in public sector funded bodies that are partially or fully funded from non-exchequer sources include (</w:t>
      </w:r>
      <w:proofErr w:type="spellStart"/>
      <w:r w:rsidRPr="008E6965">
        <w:rPr>
          <w:rFonts w:ascii="Times New Roman" w:hAnsi="Times New Roman" w:cs="Times New Roman"/>
          <w:sz w:val="20"/>
          <w:szCs w:val="20"/>
        </w:rPr>
        <w:t>i</w:t>
      </w:r>
      <w:proofErr w:type="spellEnd"/>
      <w:r w:rsidRPr="008E6965">
        <w:rPr>
          <w:rFonts w:ascii="Times New Roman" w:hAnsi="Times New Roman" w:cs="Times New Roman"/>
          <w:sz w:val="20"/>
          <w:szCs w:val="20"/>
        </w:rPr>
        <w:t>) caretakers employed by schools funded from income from having the school open to outside</w:t>
      </w:r>
      <w:r w:rsidRPr="00783E60">
        <w:rPr>
          <w:rFonts w:ascii="Times New Roman" w:hAnsi="Times New Roman" w:cs="Times New Roman"/>
        </w:rPr>
        <w:t xml:space="preserve"> </w:t>
      </w:r>
      <w:proofErr w:type="spellStart"/>
      <w:r w:rsidRPr="008E6965">
        <w:rPr>
          <w:rFonts w:ascii="Times New Roman" w:hAnsi="Times New Roman" w:cs="Times New Roman"/>
          <w:sz w:val="20"/>
          <w:szCs w:val="20"/>
        </w:rPr>
        <w:t>organisations</w:t>
      </w:r>
      <w:proofErr w:type="spellEnd"/>
      <w:r w:rsidRPr="008E6965">
        <w:rPr>
          <w:rFonts w:ascii="Times New Roman" w:hAnsi="Times New Roman" w:cs="Times New Roman"/>
          <w:sz w:val="20"/>
          <w:szCs w:val="20"/>
        </w:rPr>
        <w:t xml:space="preserve"> in the evening, (ii) tutors employed by ETBs funded from income from fee charging night classes, and, </w:t>
      </w:r>
      <w:r w:rsidRPr="00DA2BF3">
        <w:rPr>
          <w:rFonts w:ascii="Times New Roman" w:hAnsi="Times New Roman" w:cs="Times New Roman"/>
          <w:sz w:val="20"/>
          <w:szCs w:val="20"/>
        </w:rPr>
        <w:t xml:space="preserve">(iii) researchers employed by HEIs funded from income from research grants or teaching self-financing </w:t>
      </w:r>
      <w:proofErr w:type="spellStart"/>
      <w:r w:rsidRPr="00DA2BF3">
        <w:rPr>
          <w:rFonts w:ascii="Times New Roman" w:hAnsi="Times New Roman" w:cs="Times New Roman"/>
          <w:sz w:val="20"/>
          <w:szCs w:val="20"/>
        </w:rPr>
        <w:t>programmes</w:t>
      </w:r>
      <w:proofErr w:type="spellEnd"/>
      <w:r w:rsidRPr="00DA2BF3">
        <w:rPr>
          <w:rFonts w:ascii="Times New Roman" w:hAnsi="Times New Roman" w:cs="Times New Roman"/>
          <w:sz w:val="20"/>
          <w:szCs w:val="20"/>
        </w:rPr>
        <w:t>.</w:t>
      </w:r>
    </w:p>
  </w:footnote>
  <w:footnote w:id="3">
    <w:p w14:paraId="28D141BB" w14:textId="77777777" w:rsidR="005E4AC2" w:rsidRPr="00F31A0B" w:rsidRDefault="005E4AC2" w:rsidP="005E4AC2">
      <w:pPr>
        <w:rPr>
          <w:rFonts w:ascii="Times New Roman" w:hAnsi="Times New Roman" w:cs="Times New Roman"/>
          <w:sz w:val="20"/>
          <w:szCs w:val="20"/>
        </w:rPr>
      </w:pPr>
      <w:r w:rsidRPr="00F31A0B">
        <w:rPr>
          <w:rStyle w:val="FootnoteReference"/>
          <w:rFonts w:ascii="Times New Roman" w:hAnsi="Times New Roman" w:cs="Times New Roman"/>
          <w:sz w:val="20"/>
          <w:szCs w:val="20"/>
        </w:rPr>
        <w:footnoteRef/>
      </w:r>
      <w:r w:rsidRPr="00F31A0B">
        <w:rPr>
          <w:rFonts w:ascii="Times New Roman" w:hAnsi="Times New Roman" w:cs="Times New Roman"/>
          <w:sz w:val="20"/>
          <w:szCs w:val="20"/>
        </w:rPr>
        <w:t xml:space="preserve"> Relating to specific research contracts the Department will continue to engage with the relevant Departments, Higher Education Providers and key funding agencies to work both individually and on a collective basis when appropriate to ensure a coherent, flexible, pragmatic and case-by-case approach regarding research projects and staff which are impacted by the current circumstances.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F7AD3E" w14:textId="454213CD" w:rsidR="00F041CB" w:rsidRPr="005B5C2B" w:rsidRDefault="00F041CB">
    <w:pPr>
      <w:pStyle w:val="Header"/>
      <w:rPr>
        <w:lang w:val="en-IE"/>
      </w:rPr>
    </w:pPr>
    <w:r>
      <w:rPr>
        <w:lang w:val="en-IE"/>
      </w:rPr>
      <w:t xml:space="preserve">Guidance on </w:t>
    </w:r>
    <w:r w:rsidR="00BA75A8">
      <w:rPr>
        <w:lang w:val="en-IE"/>
      </w:rPr>
      <w:t>Contract and Employment Issues in the Education Sector arising from COVID_19</w:t>
    </w:r>
  </w:p>
  <w:p w14:paraId="10BE00AA" w14:textId="77777777" w:rsidR="00F041CB" w:rsidRDefault="00F041CB"/>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89EB32" w14:textId="77777777" w:rsidR="00F041CB" w:rsidRDefault="00F041CB">
    <w:pPr>
      <w:pStyle w:val="Header"/>
    </w:pPr>
    <w:r>
      <w:rPr>
        <w:noProof/>
        <w:lang w:val="en-IE" w:eastAsia="en-IE"/>
      </w:rPr>
      <w:drawing>
        <wp:anchor distT="0" distB="0" distL="114300" distR="114300" simplePos="0" relativeHeight="251661312" behindDoc="1" locked="1" layoutInCell="1" allowOverlap="0" wp14:anchorId="37234C45" wp14:editId="6031C795">
          <wp:simplePos x="0" y="0"/>
          <wp:positionH relativeFrom="column">
            <wp:posOffset>-802640</wp:posOffset>
          </wp:positionH>
          <wp:positionV relativeFrom="paragraph">
            <wp:posOffset>6985</wp:posOffset>
          </wp:positionV>
          <wp:extent cx="2419200" cy="975600"/>
          <wp:effectExtent l="0" t="0" r="0" b="0"/>
          <wp:wrapNone/>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Transport_MARK_MASTER_Std_Colour.eps"/>
                  <pic:cNvPicPr/>
                </pic:nvPicPr>
                <pic:blipFill>
                  <a:blip r:embed="rId1">
                    <a:extLst>
                      <a:ext uri="{28A0092B-C50C-407E-A947-70E740481C1C}">
                        <a14:useLocalDpi xmlns:a14="http://schemas.microsoft.com/office/drawing/2010/main" val="0"/>
                      </a:ext>
                    </a:extLst>
                  </a:blip>
                  <a:stretch>
                    <a:fillRect/>
                  </a:stretch>
                </pic:blipFill>
                <pic:spPr>
                  <a:xfrm>
                    <a:off x="0" y="0"/>
                    <a:ext cx="2419200" cy="975600"/>
                  </a:xfrm>
                  <a:prstGeom prst="rect">
                    <a:avLst/>
                  </a:prstGeom>
                </pic:spPr>
              </pic:pic>
            </a:graphicData>
          </a:graphic>
          <wp14:sizeRelH relativeFrom="page">
            <wp14:pctWidth>0</wp14:pctWidth>
          </wp14:sizeRelH>
          <wp14:sizeRelV relativeFrom="page">
            <wp14:pctHeight>0</wp14:pctHeight>
          </wp14:sizeRelV>
        </wp:anchor>
      </w:drawing>
    </w:r>
    <w:r>
      <w:rPr>
        <w:noProof/>
        <w:lang w:val="en-IE" w:eastAsia="en-IE"/>
      </w:rPr>
      <w:drawing>
        <wp:anchor distT="0" distB="0" distL="114300" distR="114300" simplePos="0" relativeHeight="251660287" behindDoc="1" locked="0" layoutInCell="1" allowOverlap="1" wp14:anchorId="70C29B22" wp14:editId="74C658CA">
          <wp:simplePos x="0" y="0"/>
          <wp:positionH relativeFrom="page">
            <wp:align>right</wp:align>
          </wp:positionH>
          <wp:positionV relativeFrom="paragraph">
            <wp:posOffset>-442595</wp:posOffset>
          </wp:positionV>
          <wp:extent cx="7554685" cy="10685961"/>
          <wp:effectExtent l="0" t="0" r="8255"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port_Covers_A42.jpg"/>
                  <pic:cNvPicPr/>
                </pic:nvPicPr>
                <pic:blipFill>
                  <a:blip r:embed="rId2">
                    <a:extLst>
                      <a:ext uri="{28A0092B-C50C-407E-A947-70E740481C1C}">
                        <a14:useLocalDpi xmlns:a14="http://schemas.microsoft.com/office/drawing/2010/main" val="0"/>
                      </a:ext>
                    </a:extLst>
                  </a:blip>
                  <a:stretch>
                    <a:fillRect/>
                  </a:stretch>
                </pic:blipFill>
                <pic:spPr>
                  <a:xfrm>
                    <a:off x="0" y="0"/>
                    <a:ext cx="7554685" cy="1068596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B70CBC7E"/>
    <w:lvl w:ilvl="0">
      <w:start w:val="1"/>
      <w:numFmt w:val="bullet"/>
      <w:pStyle w:val="NoteLevel1"/>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pStyle w:val="NoteLevel3"/>
      <w:lvlText w:val="o"/>
      <w:lvlJc w:val="left"/>
      <w:pPr>
        <w:tabs>
          <w:tab w:val="num" w:pos="1440"/>
        </w:tabs>
        <w:ind w:left="1800" w:hanging="360"/>
      </w:pPr>
      <w:rPr>
        <w:rFonts w:ascii="Courier New" w:hAnsi="Courier New" w:cs="Courier New" w:hint="default"/>
      </w:rPr>
    </w:lvl>
    <w:lvl w:ilvl="3">
      <w:start w:val="1"/>
      <w:numFmt w:val="bullet"/>
      <w:pStyle w:val="NoteLevel4"/>
      <w:lvlText w:val=""/>
      <w:lvlJc w:val="left"/>
      <w:pPr>
        <w:tabs>
          <w:tab w:val="num" w:pos="2160"/>
        </w:tabs>
        <w:ind w:left="2520" w:hanging="360"/>
      </w:pPr>
      <w:rPr>
        <w:rFonts w:ascii="Wingdings" w:hAnsi="Wingdings" w:hint="default"/>
      </w:rPr>
    </w:lvl>
    <w:lvl w:ilvl="4">
      <w:start w:val="1"/>
      <w:numFmt w:val="bullet"/>
      <w:pStyle w:val="NoteLevel5"/>
      <w:lvlText w:val=""/>
      <w:lvlJc w:val="left"/>
      <w:pPr>
        <w:tabs>
          <w:tab w:val="num" w:pos="2880"/>
        </w:tabs>
        <w:ind w:left="3240" w:hanging="360"/>
      </w:pPr>
      <w:rPr>
        <w:rFonts w:ascii="Wingdings" w:hAnsi="Wingdings" w:hint="default"/>
      </w:rPr>
    </w:lvl>
    <w:lvl w:ilvl="5">
      <w:start w:val="1"/>
      <w:numFmt w:val="bullet"/>
      <w:pStyle w:val="NoteLevel6"/>
      <w:lvlText w:val=""/>
      <w:lvlJc w:val="left"/>
      <w:pPr>
        <w:tabs>
          <w:tab w:val="num" w:pos="3600"/>
        </w:tabs>
        <w:ind w:left="3960" w:hanging="360"/>
      </w:pPr>
      <w:rPr>
        <w:rFonts w:ascii="Symbol" w:hAnsi="Symbol" w:hint="default"/>
      </w:rPr>
    </w:lvl>
    <w:lvl w:ilvl="6">
      <w:start w:val="1"/>
      <w:numFmt w:val="bullet"/>
      <w:pStyle w:val="NoteLevel7"/>
      <w:lvlText w:val="o"/>
      <w:lvlJc w:val="left"/>
      <w:pPr>
        <w:tabs>
          <w:tab w:val="num" w:pos="4320"/>
        </w:tabs>
        <w:ind w:left="4680" w:hanging="360"/>
      </w:pPr>
      <w:rPr>
        <w:rFonts w:ascii="Courier New" w:hAnsi="Courier New" w:cs="Courier New" w:hint="default"/>
      </w:rPr>
    </w:lvl>
    <w:lvl w:ilvl="7">
      <w:start w:val="1"/>
      <w:numFmt w:val="bullet"/>
      <w:pStyle w:val="NoteLevel8"/>
      <w:lvlText w:val=""/>
      <w:lvlJc w:val="left"/>
      <w:pPr>
        <w:tabs>
          <w:tab w:val="num" w:pos="5040"/>
        </w:tabs>
        <w:ind w:left="5400" w:hanging="360"/>
      </w:pPr>
      <w:rPr>
        <w:rFonts w:ascii="Wingdings" w:hAnsi="Wingdings" w:hint="default"/>
      </w:rPr>
    </w:lvl>
    <w:lvl w:ilvl="8">
      <w:start w:val="1"/>
      <w:numFmt w:val="bullet"/>
      <w:pStyle w:val="NoteLevel9"/>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B345F3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E48607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7C508AB8"/>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2E76D3FC"/>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1F823CD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7ED68068"/>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B7A6ECF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7354B9B2"/>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3C5C1E5C"/>
    <w:lvl w:ilvl="0">
      <w:start w:val="1"/>
      <w:numFmt w:val="decimal"/>
      <w:lvlText w:val="%1."/>
      <w:lvlJc w:val="left"/>
      <w:pPr>
        <w:tabs>
          <w:tab w:val="num" w:pos="389"/>
        </w:tabs>
        <w:ind w:left="389" w:hanging="389"/>
      </w:pPr>
      <w:rPr>
        <w:rFonts w:hint="default"/>
      </w:rPr>
    </w:lvl>
  </w:abstractNum>
  <w:abstractNum w:abstractNumId="10" w15:restartNumberingAfterBreak="0">
    <w:nsid w:val="FFFFFF89"/>
    <w:multiLevelType w:val="singleLevel"/>
    <w:tmpl w:val="038A2622"/>
    <w:lvl w:ilvl="0">
      <w:start w:val="1"/>
      <w:numFmt w:val="bullet"/>
      <w:lvlText w:val=""/>
      <w:lvlJc w:val="left"/>
      <w:pPr>
        <w:tabs>
          <w:tab w:val="num" w:pos="432"/>
        </w:tabs>
        <w:ind w:left="432" w:hanging="432"/>
      </w:pPr>
      <w:rPr>
        <w:rFonts w:ascii="Symbol" w:hAnsi="Symbol" w:hint="default"/>
      </w:rPr>
    </w:lvl>
  </w:abstractNum>
  <w:abstractNum w:abstractNumId="11" w15:restartNumberingAfterBreak="0">
    <w:nsid w:val="06C7362E"/>
    <w:multiLevelType w:val="hybridMultilevel"/>
    <w:tmpl w:val="2CC49F40"/>
    <w:lvl w:ilvl="0" w:tplc="37DC7C54">
      <w:start w:val="1"/>
      <w:numFmt w:val="bullet"/>
      <w:pStyle w:val="ListBullet"/>
      <w:lvlText w:val=""/>
      <w:lvlJc w:val="left"/>
      <w:pPr>
        <w:tabs>
          <w:tab w:val="num" w:pos="454"/>
        </w:tabs>
        <w:ind w:left="454" w:hanging="45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80B3282"/>
    <w:multiLevelType w:val="hybridMultilevel"/>
    <w:tmpl w:val="AA260EE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15:restartNumberingAfterBreak="0">
    <w:nsid w:val="087E77DA"/>
    <w:multiLevelType w:val="multilevel"/>
    <w:tmpl w:val="81528A64"/>
    <w:lvl w:ilvl="0">
      <w:start w:val="1"/>
      <w:numFmt w:val="decimal"/>
      <w:lvlText w:val="%1."/>
      <w:lvlJc w:val="left"/>
      <w:pPr>
        <w:tabs>
          <w:tab w:val="num" w:pos="907"/>
        </w:tabs>
        <w:ind w:left="907" w:hanging="453"/>
      </w:pPr>
      <w:rPr>
        <w:rFonts w:ascii="Lato" w:hAnsi="Lato" w:hint="default"/>
        <w:b/>
        <w:i w:val="0"/>
        <w:color w:val="000000" w:themeColor="text1"/>
        <w:sz w:val="2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0AC43B9B"/>
    <w:multiLevelType w:val="hybridMultilevel"/>
    <w:tmpl w:val="CCEAA990"/>
    <w:lvl w:ilvl="0" w:tplc="236C538E">
      <w:numFmt w:val="bullet"/>
      <w:lvlText w:val="-"/>
      <w:lvlJc w:val="left"/>
      <w:pPr>
        <w:ind w:left="720" w:hanging="360"/>
      </w:pPr>
      <w:rPr>
        <w:rFonts w:ascii="Calibri" w:eastAsia="Times New Roman" w:hAnsi="Calibri"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0ADB3180"/>
    <w:multiLevelType w:val="hybridMultilevel"/>
    <w:tmpl w:val="8B54B73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6" w15:restartNumberingAfterBreak="0">
    <w:nsid w:val="0D7E5421"/>
    <w:multiLevelType w:val="multilevel"/>
    <w:tmpl w:val="970E60A2"/>
    <w:lvl w:ilvl="0">
      <w:start w:val="2"/>
      <w:numFmt w:val="decimal"/>
      <w:lvlText w:val="%1."/>
      <w:lvlJc w:val="left"/>
      <w:pPr>
        <w:ind w:left="375" w:hanging="37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0E3B2F81"/>
    <w:multiLevelType w:val="hybridMultilevel"/>
    <w:tmpl w:val="53181EA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12AD3073"/>
    <w:multiLevelType w:val="hybridMultilevel"/>
    <w:tmpl w:val="6828411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15B85649"/>
    <w:multiLevelType w:val="hybridMultilevel"/>
    <w:tmpl w:val="FFE476D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0" w15:restartNumberingAfterBreak="0">
    <w:nsid w:val="2291496B"/>
    <w:multiLevelType w:val="hybridMultilevel"/>
    <w:tmpl w:val="8B86F606"/>
    <w:lvl w:ilvl="0" w:tplc="61AEB7E4">
      <w:start w:val="1"/>
      <w:numFmt w:val="bullet"/>
      <w:lvlText w:val=""/>
      <w:lvlJc w:val="left"/>
      <w:pPr>
        <w:tabs>
          <w:tab w:val="num" w:pos="389"/>
        </w:tabs>
        <w:ind w:left="389" w:hanging="389"/>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2E864B2"/>
    <w:multiLevelType w:val="hybridMultilevel"/>
    <w:tmpl w:val="39A01CB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2" w15:restartNumberingAfterBreak="0">
    <w:nsid w:val="26F24715"/>
    <w:multiLevelType w:val="hybridMultilevel"/>
    <w:tmpl w:val="56B00D4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32C43D8A"/>
    <w:multiLevelType w:val="hybridMultilevel"/>
    <w:tmpl w:val="125EF68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4" w15:restartNumberingAfterBreak="0">
    <w:nsid w:val="36B20886"/>
    <w:multiLevelType w:val="multilevel"/>
    <w:tmpl w:val="22DA748A"/>
    <w:lvl w:ilvl="0">
      <w:start w:val="1"/>
      <w:numFmt w:val="decimal"/>
      <w:lvlText w:val="%1."/>
      <w:lvlJc w:val="left"/>
      <w:pPr>
        <w:tabs>
          <w:tab w:val="num" w:pos="907"/>
        </w:tabs>
        <w:ind w:left="907" w:hanging="453"/>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A563545"/>
    <w:multiLevelType w:val="hybridMultilevel"/>
    <w:tmpl w:val="B630F24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6" w15:restartNumberingAfterBreak="0">
    <w:nsid w:val="3AD70691"/>
    <w:multiLevelType w:val="multilevel"/>
    <w:tmpl w:val="078A913A"/>
    <w:lvl w:ilvl="0">
      <w:start w:val="1"/>
      <w:numFmt w:val="bullet"/>
      <w:lvlText w:val=""/>
      <w:lvlJc w:val="left"/>
      <w:pPr>
        <w:tabs>
          <w:tab w:val="num" w:pos="389"/>
        </w:tabs>
        <w:ind w:left="389" w:hanging="389"/>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B0F5E02"/>
    <w:multiLevelType w:val="hybridMultilevel"/>
    <w:tmpl w:val="08526A8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8" w15:restartNumberingAfterBreak="0">
    <w:nsid w:val="3BA02097"/>
    <w:multiLevelType w:val="multilevel"/>
    <w:tmpl w:val="99E6B8B6"/>
    <w:lvl w:ilvl="0">
      <w:start w:val="1"/>
      <w:numFmt w:val="decimal"/>
      <w:lvlText w:val="%1."/>
      <w:lvlJc w:val="left"/>
      <w:pPr>
        <w:ind w:left="680" w:hanging="340"/>
      </w:pPr>
      <w:rPr>
        <w:rFonts w:ascii="Lato" w:hAnsi="Lato" w:hint="default"/>
        <w:strike w:val="0"/>
        <w:dstrike w:val="0"/>
        <w:color w:val="004D44" w:themeColor="text2"/>
        <w:sz w:val="24"/>
        <w:u w:val="none" w:color="004D44" w:themeColor="text2"/>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95F7A77"/>
    <w:multiLevelType w:val="multilevel"/>
    <w:tmpl w:val="5B5E92E0"/>
    <w:lvl w:ilvl="0">
      <w:start w:val="1"/>
      <w:numFmt w:val="decimal"/>
      <w:lvlText w:val="%1."/>
      <w:lvlJc w:val="left"/>
      <w:pPr>
        <w:ind w:left="680" w:hanging="680"/>
      </w:pPr>
      <w:rPr>
        <w:rFonts w:ascii="Lato Black" w:hAnsi="Lato Black" w:hint="default"/>
        <w:strike w:val="0"/>
        <w:dstrike w:val="0"/>
        <w:color w:val="A3912A" w:themeColor="accent6"/>
        <w:sz w:val="40"/>
        <w:u w:val="none" w:color="004D44" w:themeColor="text2"/>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F85667A"/>
    <w:multiLevelType w:val="multilevel"/>
    <w:tmpl w:val="0D283A8A"/>
    <w:lvl w:ilvl="0">
      <w:start w:val="1"/>
      <w:numFmt w:val="decimal"/>
      <w:lvlText w:val="%1."/>
      <w:lvlJc w:val="left"/>
      <w:pPr>
        <w:ind w:left="340" w:hanging="340"/>
      </w:pPr>
      <w:rPr>
        <w:rFonts w:ascii="Lato" w:hAnsi="Lato" w:hint="default"/>
        <w:strike w:val="0"/>
        <w:dstrike w:val="0"/>
        <w:color w:val="A3912A" w:themeColor="accent6"/>
        <w:sz w:val="24"/>
        <w:u w:val="none" w:color="004D44" w:themeColor="text2"/>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2AF5ADC"/>
    <w:multiLevelType w:val="hybridMultilevel"/>
    <w:tmpl w:val="068462B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2" w15:restartNumberingAfterBreak="0">
    <w:nsid w:val="64607C5C"/>
    <w:multiLevelType w:val="hybridMultilevel"/>
    <w:tmpl w:val="C668090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679A4A32"/>
    <w:multiLevelType w:val="multilevel"/>
    <w:tmpl w:val="384407BA"/>
    <w:lvl w:ilvl="0">
      <w:start w:val="2"/>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7BD0E7A"/>
    <w:multiLevelType w:val="multilevel"/>
    <w:tmpl w:val="1DD86DDA"/>
    <w:lvl w:ilvl="0">
      <w:start w:val="1"/>
      <w:numFmt w:val="decimal"/>
      <w:lvlText w:val="%1."/>
      <w:lvlJc w:val="left"/>
      <w:pPr>
        <w:ind w:left="340" w:hanging="340"/>
      </w:pPr>
      <w:rPr>
        <w:rFonts w:ascii="Lato Black" w:hAnsi="Lato Black" w:hint="default"/>
        <w:strike w:val="0"/>
        <w:dstrike w:val="0"/>
        <w:color w:val="A3912A" w:themeColor="accent6"/>
        <w:sz w:val="40"/>
        <w:u w:val="none" w:color="004D44" w:themeColor="text2"/>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9924BF9"/>
    <w:multiLevelType w:val="multilevel"/>
    <w:tmpl w:val="C42673CE"/>
    <w:lvl w:ilvl="0">
      <w:start w:val="1"/>
      <w:numFmt w:val="decimal"/>
      <w:lvlText w:val="%1."/>
      <w:lvlJc w:val="left"/>
      <w:pPr>
        <w:tabs>
          <w:tab w:val="num" w:pos="680"/>
        </w:tabs>
        <w:ind w:left="680" w:hanging="226"/>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B113B18"/>
    <w:multiLevelType w:val="hybridMultilevel"/>
    <w:tmpl w:val="EB6C22A0"/>
    <w:lvl w:ilvl="0" w:tplc="18090011">
      <w:start w:val="1"/>
      <w:numFmt w:val="decimal"/>
      <w:lvlText w:val="%1)"/>
      <w:lvlJc w:val="left"/>
      <w:pPr>
        <w:ind w:left="643" w:hanging="360"/>
      </w:pPr>
      <w:rPr>
        <w:rFonts w:hint="default"/>
      </w:rPr>
    </w:lvl>
    <w:lvl w:ilvl="1" w:tplc="18090019" w:tentative="1">
      <w:start w:val="1"/>
      <w:numFmt w:val="lowerLetter"/>
      <w:lvlText w:val="%2."/>
      <w:lvlJc w:val="left"/>
      <w:pPr>
        <w:ind w:left="1363" w:hanging="360"/>
      </w:pPr>
    </w:lvl>
    <w:lvl w:ilvl="2" w:tplc="1809001B" w:tentative="1">
      <w:start w:val="1"/>
      <w:numFmt w:val="lowerRoman"/>
      <w:lvlText w:val="%3."/>
      <w:lvlJc w:val="right"/>
      <w:pPr>
        <w:ind w:left="2083" w:hanging="180"/>
      </w:pPr>
    </w:lvl>
    <w:lvl w:ilvl="3" w:tplc="1809000F" w:tentative="1">
      <w:start w:val="1"/>
      <w:numFmt w:val="decimal"/>
      <w:lvlText w:val="%4."/>
      <w:lvlJc w:val="left"/>
      <w:pPr>
        <w:ind w:left="2803" w:hanging="360"/>
      </w:pPr>
    </w:lvl>
    <w:lvl w:ilvl="4" w:tplc="18090019" w:tentative="1">
      <w:start w:val="1"/>
      <w:numFmt w:val="lowerLetter"/>
      <w:lvlText w:val="%5."/>
      <w:lvlJc w:val="left"/>
      <w:pPr>
        <w:ind w:left="3523" w:hanging="360"/>
      </w:pPr>
    </w:lvl>
    <w:lvl w:ilvl="5" w:tplc="1809001B" w:tentative="1">
      <w:start w:val="1"/>
      <w:numFmt w:val="lowerRoman"/>
      <w:lvlText w:val="%6."/>
      <w:lvlJc w:val="right"/>
      <w:pPr>
        <w:ind w:left="4243" w:hanging="180"/>
      </w:pPr>
    </w:lvl>
    <w:lvl w:ilvl="6" w:tplc="1809000F" w:tentative="1">
      <w:start w:val="1"/>
      <w:numFmt w:val="decimal"/>
      <w:lvlText w:val="%7."/>
      <w:lvlJc w:val="left"/>
      <w:pPr>
        <w:ind w:left="4963" w:hanging="360"/>
      </w:pPr>
    </w:lvl>
    <w:lvl w:ilvl="7" w:tplc="18090019" w:tentative="1">
      <w:start w:val="1"/>
      <w:numFmt w:val="lowerLetter"/>
      <w:lvlText w:val="%8."/>
      <w:lvlJc w:val="left"/>
      <w:pPr>
        <w:ind w:left="5683" w:hanging="360"/>
      </w:pPr>
    </w:lvl>
    <w:lvl w:ilvl="8" w:tplc="1809001B" w:tentative="1">
      <w:start w:val="1"/>
      <w:numFmt w:val="lowerRoman"/>
      <w:lvlText w:val="%9."/>
      <w:lvlJc w:val="right"/>
      <w:pPr>
        <w:ind w:left="6403" w:hanging="180"/>
      </w:pPr>
    </w:lvl>
  </w:abstractNum>
  <w:abstractNum w:abstractNumId="37" w15:restartNumberingAfterBreak="0">
    <w:nsid w:val="6E0C0C4C"/>
    <w:multiLevelType w:val="hybridMultilevel"/>
    <w:tmpl w:val="01C67A3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8" w15:restartNumberingAfterBreak="0">
    <w:nsid w:val="726B331D"/>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728110EC"/>
    <w:multiLevelType w:val="hybridMultilevel"/>
    <w:tmpl w:val="7D4EAD1A"/>
    <w:lvl w:ilvl="0" w:tplc="641273D6">
      <w:start w:val="1"/>
      <w:numFmt w:val="upperRoman"/>
      <w:pStyle w:val="ListNumber"/>
      <w:lvlText w:val="%1."/>
      <w:lvlJc w:val="left"/>
      <w:pPr>
        <w:tabs>
          <w:tab w:val="num" w:pos="454"/>
        </w:tabs>
        <w:ind w:left="454" w:hanging="454"/>
      </w:pPr>
      <w:rPr>
        <w:rFonts w:ascii="Lato" w:hAnsi="Lato" w:hint="default"/>
        <w:b/>
        <w:i w:val="0"/>
        <w:color w:val="000000" w:themeColor="text1"/>
        <w:sz w:val="2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3A83FB9"/>
    <w:multiLevelType w:val="hybridMultilevel"/>
    <w:tmpl w:val="F614FC78"/>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1" w15:restartNumberingAfterBreak="0">
    <w:nsid w:val="744963E4"/>
    <w:multiLevelType w:val="hybridMultilevel"/>
    <w:tmpl w:val="0B725B38"/>
    <w:lvl w:ilvl="0" w:tplc="FB8A73C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8940DD0"/>
    <w:multiLevelType w:val="multilevel"/>
    <w:tmpl w:val="A330FC92"/>
    <w:lvl w:ilvl="0">
      <w:start w:val="1"/>
      <w:numFmt w:val="decimal"/>
      <w:lvlText w:val="%1."/>
      <w:lvlJc w:val="left"/>
      <w:pPr>
        <w:tabs>
          <w:tab w:val="num" w:pos="389"/>
        </w:tabs>
        <w:ind w:left="389" w:hanging="389"/>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B1A683A"/>
    <w:multiLevelType w:val="hybridMultilevel"/>
    <w:tmpl w:val="A670A49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4" w15:restartNumberingAfterBreak="0">
    <w:nsid w:val="7D713C85"/>
    <w:multiLevelType w:val="hybridMultilevel"/>
    <w:tmpl w:val="ECDC739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5" w15:restartNumberingAfterBreak="0">
    <w:nsid w:val="7EE67FA3"/>
    <w:multiLevelType w:val="hybridMultilevel"/>
    <w:tmpl w:val="02921790"/>
    <w:lvl w:ilvl="0" w:tplc="05CCCFCA">
      <w:start w:val="1"/>
      <w:numFmt w:val="decimal"/>
      <w:pStyle w:val="Contents"/>
      <w:lvlText w:val="%1."/>
      <w:lvlJc w:val="left"/>
      <w:pPr>
        <w:ind w:left="1361" w:hanging="1361"/>
      </w:pPr>
      <w:rPr>
        <w:rFonts w:ascii="Lato Black" w:hAnsi="Lato Black" w:hint="default"/>
        <w:strike w:val="0"/>
        <w:dstrike w:val="0"/>
        <w:color w:val="A3912A" w:themeColor="accent6"/>
        <w:sz w:val="28"/>
        <w:u w:val="none" w:color="004D44" w:themeColor="text2"/>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10"/>
    <w:lvlOverride w:ilvl="0">
      <w:startOverride w:val="1"/>
    </w:lvlOverride>
  </w:num>
  <w:num w:numId="3">
    <w:abstractNumId w:val="20"/>
  </w:num>
  <w:num w:numId="4">
    <w:abstractNumId w:val="9"/>
  </w:num>
  <w:num w:numId="5">
    <w:abstractNumId w:val="41"/>
  </w:num>
  <w:num w:numId="6">
    <w:abstractNumId w:val="39"/>
  </w:num>
  <w:num w:numId="7">
    <w:abstractNumId w:val="11"/>
  </w:num>
  <w:num w:numId="8">
    <w:abstractNumId w:val="0"/>
  </w:num>
  <w:num w:numId="9">
    <w:abstractNumId w:val="1"/>
  </w:num>
  <w:num w:numId="10">
    <w:abstractNumId w:val="2"/>
  </w:num>
  <w:num w:numId="11">
    <w:abstractNumId w:val="3"/>
  </w:num>
  <w:num w:numId="12">
    <w:abstractNumId w:val="4"/>
  </w:num>
  <w:num w:numId="13">
    <w:abstractNumId w:val="5"/>
  </w:num>
  <w:num w:numId="14">
    <w:abstractNumId w:val="6"/>
  </w:num>
  <w:num w:numId="15">
    <w:abstractNumId w:val="7"/>
  </w:num>
  <w:num w:numId="16">
    <w:abstractNumId w:val="8"/>
  </w:num>
  <w:num w:numId="17">
    <w:abstractNumId w:val="45"/>
  </w:num>
  <w:num w:numId="18">
    <w:abstractNumId w:val="38"/>
  </w:num>
  <w:num w:numId="19">
    <w:abstractNumId w:val="28"/>
  </w:num>
  <w:num w:numId="20">
    <w:abstractNumId w:val="30"/>
  </w:num>
  <w:num w:numId="21">
    <w:abstractNumId w:val="34"/>
  </w:num>
  <w:num w:numId="22">
    <w:abstractNumId w:val="29"/>
  </w:num>
  <w:num w:numId="23">
    <w:abstractNumId w:val="42"/>
  </w:num>
  <w:num w:numId="24">
    <w:abstractNumId w:val="35"/>
  </w:num>
  <w:num w:numId="25">
    <w:abstractNumId w:val="24"/>
  </w:num>
  <w:num w:numId="26">
    <w:abstractNumId w:val="13"/>
  </w:num>
  <w:num w:numId="27">
    <w:abstractNumId w:val="26"/>
  </w:num>
  <w:num w:numId="28">
    <w:abstractNumId w:val="43"/>
  </w:num>
  <w:num w:numId="29">
    <w:abstractNumId w:val="22"/>
  </w:num>
  <w:num w:numId="30">
    <w:abstractNumId w:val="31"/>
  </w:num>
  <w:num w:numId="31">
    <w:abstractNumId w:val="17"/>
  </w:num>
  <w:num w:numId="32">
    <w:abstractNumId w:val="23"/>
  </w:num>
  <w:num w:numId="33">
    <w:abstractNumId w:val="25"/>
  </w:num>
  <w:num w:numId="34">
    <w:abstractNumId w:val="27"/>
  </w:num>
  <w:num w:numId="35">
    <w:abstractNumId w:val="14"/>
  </w:num>
  <w:num w:numId="36">
    <w:abstractNumId w:val="12"/>
  </w:num>
  <w:num w:numId="37">
    <w:abstractNumId w:val="37"/>
  </w:num>
  <w:num w:numId="38">
    <w:abstractNumId w:val="21"/>
  </w:num>
  <w:num w:numId="39">
    <w:abstractNumId w:val="19"/>
  </w:num>
  <w:num w:numId="40">
    <w:abstractNumId w:val="44"/>
  </w:num>
  <w:num w:numId="41">
    <w:abstractNumId w:val="40"/>
  </w:num>
  <w:num w:numId="42">
    <w:abstractNumId w:val="15"/>
  </w:num>
  <w:num w:numId="43">
    <w:abstractNumId w:val="36"/>
  </w:num>
  <w:num w:numId="44">
    <w:abstractNumId w:val="16"/>
  </w:num>
  <w:num w:numId="45">
    <w:abstractNumId w:val="33"/>
  </w:num>
  <w:num w:numId="46">
    <w:abstractNumId w:val="32"/>
  </w:num>
  <w:num w:numId="4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05"/>
  <w:drawingGridVerticalSpacing w:val="381"/>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FE8"/>
    <w:rsid w:val="00020D56"/>
    <w:rsid w:val="0003450B"/>
    <w:rsid w:val="0004703E"/>
    <w:rsid w:val="00055582"/>
    <w:rsid w:val="00055D56"/>
    <w:rsid w:val="000703E6"/>
    <w:rsid w:val="00071437"/>
    <w:rsid w:val="0007277B"/>
    <w:rsid w:val="000730A8"/>
    <w:rsid w:val="000767DA"/>
    <w:rsid w:val="00085A6B"/>
    <w:rsid w:val="00091C7C"/>
    <w:rsid w:val="000A16A5"/>
    <w:rsid w:val="000A3ED1"/>
    <w:rsid w:val="000A7C49"/>
    <w:rsid w:val="000C19D9"/>
    <w:rsid w:val="000D2F9D"/>
    <w:rsid w:val="000D6ACD"/>
    <w:rsid w:val="000E31A9"/>
    <w:rsid w:val="000F30F1"/>
    <w:rsid w:val="000F3E83"/>
    <w:rsid w:val="000F72FD"/>
    <w:rsid w:val="00104FE8"/>
    <w:rsid w:val="00113CCE"/>
    <w:rsid w:val="0011401A"/>
    <w:rsid w:val="00153A7A"/>
    <w:rsid w:val="001552E8"/>
    <w:rsid w:val="00155EA5"/>
    <w:rsid w:val="00157141"/>
    <w:rsid w:val="0018789F"/>
    <w:rsid w:val="00190C07"/>
    <w:rsid w:val="0019665B"/>
    <w:rsid w:val="001A0C21"/>
    <w:rsid w:val="001A6E6E"/>
    <w:rsid w:val="001F5665"/>
    <w:rsid w:val="001F68DC"/>
    <w:rsid w:val="001F7660"/>
    <w:rsid w:val="00231D54"/>
    <w:rsid w:val="00232738"/>
    <w:rsid w:val="00254130"/>
    <w:rsid w:val="0026658C"/>
    <w:rsid w:val="002749D2"/>
    <w:rsid w:val="00282EB9"/>
    <w:rsid w:val="00292BE0"/>
    <w:rsid w:val="0029602E"/>
    <w:rsid w:val="002B2482"/>
    <w:rsid w:val="002C35A3"/>
    <w:rsid w:val="002D53B7"/>
    <w:rsid w:val="00302DC8"/>
    <w:rsid w:val="00305EFC"/>
    <w:rsid w:val="00321993"/>
    <w:rsid w:val="00325BB9"/>
    <w:rsid w:val="00327982"/>
    <w:rsid w:val="00331323"/>
    <w:rsid w:val="00335CDC"/>
    <w:rsid w:val="00347316"/>
    <w:rsid w:val="0036294A"/>
    <w:rsid w:val="00366FE8"/>
    <w:rsid w:val="0037105C"/>
    <w:rsid w:val="003B18B9"/>
    <w:rsid w:val="003C0C08"/>
    <w:rsid w:val="003C36CD"/>
    <w:rsid w:val="003C4865"/>
    <w:rsid w:val="003D4D1B"/>
    <w:rsid w:val="003E2030"/>
    <w:rsid w:val="003F5C7D"/>
    <w:rsid w:val="0040279D"/>
    <w:rsid w:val="00412C36"/>
    <w:rsid w:val="0042545D"/>
    <w:rsid w:val="00434D21"/>
    <w:rsid w:val="00441DC0"/>
    <w:rsid w:val="00462B4A"/>
    <w:rsid w:val="00463FFC"/>
    <w:rsid w:val="00476B67"/>
    <w:rsid w:val="004B3274"/>
    <w:rsid w:val="004D13E8"/>
    <w:rsid w:val="004E161F"/>
    <w:rsid w:val="004E2954"/>
    <w:rsid w:val="004E6E0F"/>
    <w:rsid w:val="004E7C39"/>
    <w:rsid w:val="00512F7A"/>
    <w:rsid w:val="005135F4"/>
    <w:rsid w:val="00516B47"/>
    <w:rsid w:val="00524387"/>
    <w:rsid w:val="00524E33"/>
    <w:rsid w:val="00530E51"/>
    <w:rsid w:val="0053560A"/>
    <w:rsid w:val="005556C9"/>
    <w:rsid w:val="00560EB9"/>
    <w:rsid w:val="00561F6F"/>
    <w:rsid w:val="00565E81"/>
    <w:rsid w:val="0056763D"/>
    <w:rsid w:val="005716FC"/>
    <w:rsid w:val="005717C4"/>
    <w:rsid w:val="0057650B"/>
    <w:rsid w:val="005B5C2B"/>
    <w:rsid w:val="005D190E"/>
    <w:rsid w:val="005D245E"/>
    <w:rsid w:val="005D4389"/>
    <w:rsid w:val="005E4AC2"/>
    <w:rsid w:val="005F2F6C"/>
    <w:rsid w:val="005F42BA"/>
    <w:rsid w:val="005F4F2F"/>
    <w:rsid w:val="0060182D"/>
    <w:rsid w:val="00604EA8"/>
    <w:rsid w:val="0060538E"/>
    <w:rsid w:val="00610A48"/>
    <w:rsid w:val="00610BEB"/>
    <w:rsid w:val="00616252"/>
    <w:rsid w:val="00625FA2"/>
    <w:rsid w:val="00633161"/>
    <w:rsid w:val="006350F8"/>
    <w:rsid w:val="00637F7A"/>
    <w:rsid w:val="00640490"/>
    <w:rsid w:val="006623DF"/>
    <w:rsid w:val="00671372"/>
    <w:rsid w:val="0068370F"/>
    <w:rsid w:val="00692F85"/>
    <w:rsid w:val="00695986"/>
    <w:rsid w:val="00697276"/>
    <w:rsid w:val="006B7B8D"/>
    <w:rsid w:val="006D40F3"/>
    <w:rsid w:val="006D4EC3"/>
    <w:rsid w:val="006D6D2A"/>
    <w:rsid w:val="006E04B6"/>
    <w:rsid w:val="006F7247"/>
    <w:rsid w:val="007102CD"/>
    <w:rsid w:val="007120BA"/>
    <w:rsid w:val="007147ED"/>
    <w:rsid w:val="00715636"/>
    <w:rsid w:val="00720D69"/>
    <w:rsid w:val="00722A88"/>
    <w:rsid w:val="00733690"/>
    <w:rsid w:val="007475AF"/>
    <w:rsid w:val="007511ED"/>
    <w:rsid w:val="007518C0"/>
    <w:rsid w:val="00755210"/>
    <w:rsid w:val="0075703E"/>
    <w:rsid w:val="00760F79"/>
    <w:rsid w:val="00770327"/>
    <w:rsid w:val="00777D29"/>
    <w:rsid w:val="00790288"/>
    <w:rsid w:val="00791B8D"/>
    <w:rsid w:val="00795AE3"/>
    <w:rsid w:val="007B30B0"/>
    <w:rsid w:val="007B4902"/>
    <w:rsid w:val="007C593D"/>
    <w:rsid w:val="007F3886"/>
    <w:rsid w:val="007F7506"/>
    <w:rsid w:val="00800CF7"/>
    <w:rsid w:val="00804D93"/>
    <w:rsid w:val="00805866"/>
    <w:rsid w:val="00807FB7"/>
    <w:rsid w:val="0081457E"/>
    <w:rsid w:val="00815DEC"/>
    <w:rsid w:val="00817CC8"/>
    <w:rsid w:val="008213FA"/>
    <w:rsid w:val="00824791"/>
    <w:rsid w:val="00824BE2"/>
    <w:rsid w:val="00831A49"/>
    <w:rsid w:val="008360D5"/>
    <w:rsid w:val="00837D79"/>
    <w:rsid w:val="008419D0"/>
    <w:rsid w:val="00842475"/>
    <w:rsid w:val="00844232"/>
    <w:rsid w:val="0084424C"/>
    <w:rsid w:val="00857E68"/>
    <w:rsid w:val="00865251"/>
    <w:rsid w:val="008B351A"/>
    <w:rsid w:val="008B6CF3"/>
    <w:rsid w:val="008C2F83"/>
    <w:rsid w:val="008E6965"/>
    <w:rsid w:val="008E70E2"/>
    <w:rsid w:val="008E7FA1"/>
    <w:rsid w:val="009050F5"/>
    <w:rsid w:val="00907242"/>
    <w:rsid w:val="0093635A"/>
    <w:rsid w:val="009500A7"/>
    <w:rsid w:val="009633DA"/>
    <w:rsid w:val="00971026"/>
    <w:rsid w:val="00980E5E"/>
    <w:rsid w:val="00982994"/>
    <w:rsid w:val="009958FC"/>
    <w:rsid w:val="009A5334"/>
    <w:rsid w:val="009F6661"/>
    <w:rsid w:val="00A02EE0"/>
    <w:rsid w:val="00A12C40"/>
    <w:rsid w:val="00A14235"/>
    <w:rsid w:val="00A178D0"/>
    <w:rsid w:val="00A230DA"/>
    <w:rsid w:val="00A259AE"/>
    <w:rsid w:val="00A35E5C"/>
    <w:rsid w:val="00A453DB"/>
    <w:rsid w:val="00A53BC0"/>
    <w:rsid w:val="00A828DD"/>
    <w:rsid w:val="00A947BF"/>
    <w:rsid w:val="00AA2D17"/>
    <w:rsid w:val="00AB373E"/>
    <w:rsid w:val="00AC6B13"/>
    <w:rsid w:val="00AC7726"/>
    <w:rsid w:val="00AC7C98"/>
    <w:rsid w:val="00AE1F61"/>
    <w:rsid w:val="00AE29EA"/>
    <w:rsid w:val="00AF1C92"/>
    <w:rsid w:val="00B00B5C"/>
    <w:rsid w:val="00B1244F"/>
    <w:rsid w:val="00B51B5B"/>
    <w:rsid w:val="00B64DDE"/>
    <w:rsid w:val="00B814F5"/>
    <w:rsid w:val="00B81DC4"/>
    <w:rsid w:val="00B83680"/>
    <w:rsid w:val="00B91108"/>
    <w:rsid w:val="00B95F44"/>
    <w:rsid w:val="00BA75A8"/>
    <w:rsid w:val="00BB0528"/>
    <w:rsid w:val="00BB69D5"/>
    <w:rsid w:val="00BB716C"/>
    <w:rsid w:val="00BC61D0"/>
    <w:rsid w:val="00BD3C05"/>
    <w:rsid w:val="00BE3212"/>
    <w:rsid w:val="00BF7F98"/>
    <w:rsid w:val="00C206DA"/>
    <w:rsid w:val="00C21F04"/>
    <w:rsid w:val="00C40560"/>
    <w:rsid w:val="00C564BF"/>
    <w:rsid w:val="00C6191F"/>
    <w:rsid w:val="00C61F8C"/>
    <w:rsid w:val="00C63757"/>
    <w:rsid w:val="00C73D63"/>
    <w:rsid w:val="00C82220"/>
    <w:rsid w:val="00C84838"/>
    <w:rsid w:val="00C93711"/>
    <w:rsid w:val="00C9455B"/>
    <w:rsid w:val="00CA2F34"/>
    <w:rsid w:val="00CB1F2A"/>
    <w:rsid w:val="00CB49D9"/>
    <w:rsid w:val="00CB616D"/>
    <w:rsid w:val="00CB7D2E"/>
    <w:rsid w:val="00CC31D6"/>
    <w:rsid w:val="00CE72C8"/>
    <w:rsid w:val="00D2039F"/>
    <w:rsid w:val="00D20786"/>
    <w:rsid w:val="00D52F93"/>
    <w:rsid w:val="00D76841"/>
    <w:rsid w:val="00D96B8A"/>
    <w:rsid w:val="00DA2BF3"/>
    <w:rsid w:val="00DD30AD"/>
    <w:rsid w:val="00DD3161"/>
    <w:rsid w:val="00DE269E"/>
    <w:rsid w:val="00DE3D90"/>
    <w:rsid w:val="00DE4F21"/>
    <w:rsid w:val="00DF0191"/>
    <w:rsid w:val="00E0201A"/>
    <w:rsid w:val="00E115E1"/>
    <w:rsid w:val="00E14392"/>
    <w:rsid w:val="00E23E1A"/>
    <w:rsid w:val="00E23F9B"/>
    <w:rsid w:val="00E26789"/>
    <w:rsid w:val="00E35D99"/>
    <w:rsid w:val="00E3702B"/>
    <w:rsid w:val="00E571AC"/>
    <w:rsid w:val="00E71B3B"/>
    <w:rsid w:val="00E7248A"/>
    <w:rsid w:val="00E84684"/>
    <w:rsid w:val="00E94117"/>
    <w:rsid w:val="00EA5124"/>
    <w:rsid w:val="00EA5AE3"/>
    <w:rsid w:val="00EB580B"/>
    <w:rsid w:val="00EC4DDA"/>
    <w:rsid w:val="00EC7894"/>
    <w:rsid w:val="00F041CB"/>
    <w:rsid w:val="00F153CE"/>
    <w:rsid w:val="00F203AE"/>
    <w:rsid w:val="00F31A0B"/>
    <w:rsid w:val="00F36445"/>
    <w:rsid w:val="00F45D39"/>
    <w:rsid w:val="00F46059"/>
    <w:rsid w:val="00F80428"/>
    <w:rsid w:val="00F84527"/>
    <w:rsid w:val="00F94CB4"/>
    <w:rsid w:val="00F969E0"/>
    <w:rsid w:val="00FA1F89"/>
    <w:rsid w:val="00FB1C79"/>
    <w:rsid w:val="00FC3B6A"/>
    <w:rsid w:val="00FE0444"/>
    <w:rsid w:val="00FE25AE"/>
    <w:rsid w:val="00FF3722"/>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110A29E"/>
  <w15:chartTrackingRefBased/>
  <w15:docId w15:val="{DBF5EF1D-F43C-4349-BFE4-F32211319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004D44" w:themeColor="text2"/>
        <w:sz w:val="22"/>
        <w:szCs w:val="22"/>
        <w:lang w:val="en-US" w:eastAsia="ja-JP" w:bidi="ar-SA"/>
      </w:rPr>
    </w:rPrDefault>
    <w:pPrDefault>
      <w:pPr>
        <w:spacing w:after="200" w:line="31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0"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0D56"/>
    <w:pPr>
      <w:tabs>
        <w:tab w:val="left" w:pos="454"/>
        <w:tab w:val="left" w:pos="907"/>
        <w:tab w:val="left" w:pos="1361"/>
        <w:tab w:val="left" w:pos="1814"/>
        <w:tab w:val="left" w:pos="2268"/>
      </w:tabs>
      <w:spacing w:after="270" w:line="270" w:lineRule="exact"/>
    </w:pPr>
    <w:rPr>
      <w:rFonts w:ascii="Arial" w:hAnsi="Arial"/>
      <w:color w:val="000000" w:themeColor="text1"/>
      <w:sz w:val="21"/>
    </w:rPr>
  </w:style>
  <w:style w:type="paragraph" w:styleId="Heading1">
    <w:name w:val="heading 1"/>
    <w:basedOn w:val="Normal"/>
    <w:next w:val="Normal"/>
    <w:link w:val="Heading1Char"/>
    <w:uiPriority w:val="9"/>
    <w:qFormat/>
    <w:rsid w:val="009958FC"/>
    <w:pPr>
      <w:spacing w:before="240"/>
      <w:outlineLvl w:val="0"/>
    </w:pPr>
    <w:rPr>
      <w:rFonts w:eastAsia="Times New Roman" w:cs="Calibri"/>
      <w:b/>
      <w:color w:val="004D44"/>
      <w:sz w:val="24"/>
      <w:szCs w:val="24"/>
    </w:rPr>
  </w:style>
  <w:style w:type="paragraph" w:styleId="Heading2">
    <w:name w:val="heading 2"/>
    <w:basedOn w:val="Normal"/>
    <w:next w:val="Normal"/>
    <w:link w:val="Heading2Char"/>
    <w:uiPriority w:val="9"/>
    <w:unhideWhenUsed/>
    <w:qFormat/>
    <w:rsid w:val="00980E5E"/>
    <w:pPr>
      <w:spacing w:before="240"/>
      <w:outlineLvl w:val="1"/>
    </w:pPr>
    <w:rPr>
      <w:rFonts w:eastAsia="Times New Roman" w:cs="Calibri"/>
      <w:b/>
      <w:color w:val="008872"/>
      <w:sz w:val="22"/>
    </w:rPr>
  </w:style>
  <w:style w:type="paragraph" w:styleId="Heading3">
    <w:name w:val="heading 3"/>
    <w:basedOn w:val="Normal"/>
    <w:next w:val="Normal"/>
    <w:link w:val="Heading3Char"/>
    <w:uiPriority w:val="9"/>
    <w:unhideWhenUsed/>
    <w:qFormat/>
    <w:rsid w:val="009F6661"/>
    <w:pPr>
      <w:keepNext/>
      <w:keepLines/>
      <w:spacing w:before="320" w:after="0" w:line="320" w:lineRule="exact"/>
      <w:contextualSpacing/>
      <w:outlineLvl w:val="2"/>
    </w:pPr>
    <w:rPr>
      <w:rFonts w:ascii="Lato Black" w:eastAsiaTheme="majorEastAsia" w:hAnsi="Lato Black" w:cstheme="majorBidi"/>
      <w:b/>
      <w:bCs/>
      <w:caps/>
      <w:color w:val="004D44" w:themeColor="text2"/>
      <w:spacing w:val="30"/>
      <w:sz w:val="20"/>
      <w:szCs w:val="19"/>
      <w:lang w:val="en-GB" w:eastAsia="en-GB"/>
    </w:rPr>
  </w:style>
  <w:style w:type="paragraph" w:styleId="Heading4">
    <w:name w:val="heading 4"/>
    <w:basedOn w:val="Normal"/>
    <w:next w:val="Normal"/>
    <w:link w:val="Heading4Char"/>
    <w:uiPriority w:val="9"/>
    <w:unhideWhenUsed/>
    <w:qFormat/>
    <w:rsid w:val="00153A7A"/>
    <w:pPr>
      <w:keepNext/>
      <w:keepLines/>
      <w:spacing w:after="0" w:line="240" w:lineRule="auto"/>
      <w:contextualSpacing/>
      <w:outlineLvl w:val="3"/>
    </w:pPr>
    <w:rPr>
      <w:rFonts w:eastAsiaTheme="majorEastAsia" w:cstheme="majorBidi"/>
      <w:b/>
      <w:i/>
      <w:iCs/>
      <w:lang w:val="en-GB" w:eastAsia="en-GB"/>
    </w:rPr>
  </w:style>
  <w:style w:type="paragraph" w:styleId="Heading5">
    <w:name w:val="heading 5"/>
    <w:basedOn w:val="Heading4"/>
    <w:next w:val="Normal"/>
    <w:link w:val="Heading5Char"/>
    <w:uiPriority w:val="9"/>
    <w:unhideWhenUsed/>
    <w:rsid w:val="006F7247"/>
    <w:pPr>
      <w:outlineLvl w:val="4"/>
    </w:pPr>
  </w:style>
  <w:style w:type="paragraph" w:styleId="Heading6">
    <w:name w:val="heading 6"/>
    <w:basedOn w:val="Heading5"/>
    <w:next w:val="Normal"/>
    <w:link w:val="Heading6Char"/>
    <w:uiPriority w:val="9"/>
    <w:unhideWhenUsed/>
    <w:rsid w:val="006F7247"/>
    <w:pPr>
      <w:outlineLvl w:val="5"/>
    </w:pPr>
  </w:style>
  <w:style w:type="paragraph" w:styleId="Heading7">
    <w:name w:val="heading 7"/>
    <w:basedOn w:val="Heading6"/>
    <w:next w:val="Normal"/>
    <w:link w:val="Heading7Char"/>
    <w:uiPriority w:val="9"/>
    <w:unhideWhenUsed/>
    <w:rsid w:val="006F7247"/>
    <w:pPr>
      <w:outlineLvl w:val="6"/>
    </w:pPr>
  </w:style>
  <w:style w:type="paragraph" w:styleId="Heading8">
    <w:name w:val="heading 8"/>
    <w:basedOn w:val="Heading7"/>
    <w:next w:val="Normal"/>
    <w:link w:val="Heading8Char"/>
    <w:uiPriority w:val="9"/>
    <w:unhideWhenUsed/>
    <w:rsid w:val="006F7247"/>
    <w:pPr>
      <w:outlineLvl w:val="7"/>
    </w:pPr>
  </w:style>
  <w:style w:type="paragraph" w:styleId="Heading9">
    <w:name w:val="heading 9"/>
    <w:basedOn w:val="Heading8"/>
    <w:next w:val="Normal"/>
    <w:link w:val="Heading9Char"/>
    <w:uiPriority w:val="9"/>
    <w:unhideWhenUsed/>
    <w:rsid w:val="006F72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rsid w:val="00A02EE0"/>
    <w:pPr>
      <w:spacing w:before="80" w:after="0" w:line="210" w:lineRule="exact"/>
      <w:ind w:right="3629"/>
    </w:pPr>
    <w:rPr>
      <w:sz w:val="15"/>
      <w:lang w:val="en-GB" w:eastAsia="en-GB"/>
    </w:rPr>
  </w:style>
  <w:style w:type="character" w:customStyle="1" w:styleId="FooterChar">
    <w:name w:val="Footer Char"/>
    <w:basedOn w:val="DefaultParagraphFont"/>
    <w:link w:val="Footer"/>
    <w:uiPriority w:val="99"/>
    <w:rsid w:val="00A02EE0"/>
    <w:rPr>
      <w:rFonts w:ascii="Lato" w:hAnsi="Lato"/>
      <w:color w:val="000000" w:themeColor="text1"/>
      <w:sz w:val="15"/>
      <w:lang w:val="en-GB" w:eastAsia="en-GB"/>
    </w:rPr>
  </w:style>
  <w:style w:type="character" w:customStyle="1" w:styleId="Heading1Char">
    <w:name w:val="Heading 1 Char"/>
    <w:basedOn w:val="DefaultParagraphFont"/>
    <w:link w:val="Heading1"/>
    <w:uiPriority w:val="9"/>
    <w:rsid w:val="009958FC"/>
    <w:rPr>
      <w:rFonts w:ascii="Arial" w:eastAsia="Times New Roman" w:hAnsi="Arial" w:cs="Calibri"/>
      <w:b/>
      <w:color w:val="004D44"/>
      <w:sz w:val="24"/>
      <w:szCs w:val="24"/>
    </w:rPr>
  </w:style>
  <w:style w:type="character" w:customStyle="1" w:styleId="Heading2Char">
    <w:name w:val="Heading 2 Char"/>
    <w:basedOn w:val="DefaultParagraphFont"/>
    <w:link w:val="Heading2"/>
    <w:uiPriority w:val="9"/>
    <w:rsid w:val="00980E5E"/>
    <w:rPr>
      <w:rFonts w:ascii="Arial" w:eastAsia="Times New Roman" w:hAnsi="Arial" w:cs="Calibri"/>
      <w:b/>
      <w:color w:val="008872"/>
    </w:rPr>
  </w:style>
  <w:style w:type="paragraph" w:styleId="ListBullet">
    <w:name w:val="List Bullet"/>
    <w:basedOn w:val="Normal"/>
    <w:uiPriority w:val="10"/>
    <w:qFormat/>
    <w:rsid w:val="00A02EE0"/>
    <w:pPr>
      <w:numPr>
        <w:numId w:val="7"/>
      </w:numPr>
      <w:spacing w:before="80" w:after="80"/>
    </w:p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uiPriority w:val="30"/>
    <w:unhideWhenUsed/>
    <w:qFormat/>
    <w:rsid w:val="006D4EC3"/>
    <w:pPr>
      <w:pBdr>
        <w:left w:val="single" w:sz="48" w:space="4" w:color="004D44" w:themeColor="text2"/>
      </w:pBdr>
      <w:spacing w:after="0" w:line="440" w:lineRule="atLeast"/>
      <w:ind w:left="907" w:right="907"/>
      <w:contextualSpacing/>
    </w:pPr>
    <w:rPr>
      <w:b/>
      <w:bCs/>
      <w:color w:val="A3912A" w:themeColor="accent6"/>
      <w:sz w:val="32"/>
      <w:szCs w:val="32"/>
      <w:lang w:val="en-GB" w:eastAsia="en-GB"/>
    </w:rPr>
  </w:style>
  <w:style w:type="character" w:customStyle="1" w:styleId="IntenseQuoteChar">
    <w:name w:val="Intense Quote Char"/>
    <w:basedOn w:val="DefaultParagraphFont"/>
    <w:link w:val="IntenseQuote"/>
    <w:uiPriority w:val="30"/>
    <w:rsid w:val="006D4EC3"/>
    <w:rPr>
      <w:rFonts w:ascii="Lato" w:hAnsi="Lato"/>
      <w:b/>
      <w:bCs/>
      <w:color w:val="A3912A" w:themeColor="accent6"/>
      <w:sz w:val="32"/>
      <w:szCs w:val="32"/>
      <w:lang w:val="en-GB" w:eastAsia="en-GB"/>
    </w:rPr>
  </w:style>
  <w:style w:type="table" w:customStyle="1" w:styleId="ModernPaper">
    <w:name w:val="Modern Paper"/>
    <w:basedOn w:val="TableNormal"/>
    <w:uiPriority w:val="99"/>
    <w:pPr>
      <w:spacing w:before="200" w:line="240" w:lineRule="auto"/>
    </w:pPr>
    <w:tblPr>
      <w:tblBorders>
        <w:insideH w:val="single" w:sz="8" w:space="0" w:color="004D44" w:themeColor="text2"/>
      </w:tblBorders>
      <w:tblCellMar>
        <w:left w:w="144" w:type="dxa"/>
        <w:right w:w="144" w:type="dxa"/>
      </w:tblCellMar>
    </w:tblPr>
    <w:tcPr>
      <w:vAlign w:val="center"/>
    </w:tcPr>
    <w:tblStylePr w:type="firstRow">
      <w:pPr>
        <w:wordWrap/>
        <w:spacing w:beforeLines="0" w:before="480" w:beforeAutospacing="0" w:afterLines="0" w:after="360" w:afterAutospacing="0" w:line="216" w:lineRule="auto"/>
        <w:contextualSpacing w:val="0"/>
      </w:pPr>
      <w:rPr>
        <w:rFonts w:asciiTheme="majorHAnsi" w:hAnsiTheme="majorHAnsi"/>
        <w:b/>
        <w:i w:val="0"/>
        <w:color w:val="8BC151" w:themeColor="accent1"/>
        <w:sz w:val="28"/>
      </w:rPr>
      <w:tblPr/>
      <w:trPr>
        <w:tblHeader/>
      </w:trPr>
      <w:tcPr>
        <w:tcBorders>
          <w:top w:val="nil"/>
          <w:left w:val="nil"/>
          <w:bottom w:val="single" w:sz="24" w:space="0" w:color="004D44" w:themeColor="text2"/>
          <w:right w:val="nil"/>
          <w:insideH w:val="nil"/>
          <w:insideV w:val="nil"/>
          <w:tl2br w:val="nil"/>
          <w:tr2bl w:val="nil"/>
        </w:tcBorders>
      </w:tcPr>
    </w:tblStylePr>
    <w:tblStylePr w:type="firstCol">
      <w:pPr>
        <w:wordWrap/>
        <w:jc w:val="right"/>
      </w:pPr>
      <w:rPr>
        <w:b/>
      </w:rPr>
      <w:tblPr/>
      <w:tcPr>
        <w:tcMar>
          <w:top w:w="0" w:type="nil"/>
          <w:left w:w="0" w:type="nil"/>
          <w:bottom w:w="0" w:type="nil"/>
          <w:right w:w="432" w:type="dxa"/>
        </w:tcMar>
      </w:tcPr>
    </w:tblStylePr>
    <w:tblStylePr w:type="nwCell">
      <w:pPr>
        <w:wordWrap/>
        <w:jc w:val="left"/>
      </w:pPr>
    </w:tblStylePr>
  </w:style>
  <w:style w:type="character" w:customStyle="1" w:styleId="Heading3Char">
    <w:name w:val="Heading 3 Char"/>
    <w:basedOn w:val="DefaultParagraphFont"/>
    <w:link w:val="Heading3"/>
    <w:uiPriority w:val="9"/>
    <w:rsid w:val="009F6661"/>
    <w:rPr>
      <w:rFonts w:ascii="Lato Black" w:eastAsiaTheme="majorEastAsia" w:hAnsi="Lato Black" w:cstheme="majorBidi"/>
      <w:b/>
      <w:bCs/>
      <w:caps/>
      <w:spacing w:val="30"/>
      <w:sz w:val="20"/>
      <w:szCs w:val="19"/>
      <w:lang w:val="en-GB" w:eastAsia="en-GB"/>
    </w:rPr>
  </w:style>
  <w:style w:type="character" w:customStyle="1" w:styleId="Heading4Char">
    <w:name w:val="Heading 4 Char"/>
    <w:basedOn w:val="DefaultParagraphFont"/>
    <w:link w:val="Heading4"/>
    <w:uiPriority w:val="9"/>
    <w:rsid w:val="00153A7A"/>
    <w:rPr>
      <w:rFonts w:ascii="Lato" w:eastAsiaTheme="majorEastAsia" w:hAnsi="Lato" w:cstheme="majorBidi"/>
      <w:b/>
      <w:i/>
      <w:iCs/>
      <w:sz w:val="21"/>
      <w:lang w:val="en-GB" w:eastAsia="en-GB"/>
    </w:rPr>
  </w:style>
  <w:style w:type="character" w:customStyle="1" w:styleId="Heading5Char">
    <w:name w:val="Heading 5 Char"/>
    <w:basedOn w:val="DefaultParagraphFont"/>
    <w:link w:val="Heading5"/>
    <w:uiPriority w:val="9"/>
    <w:rsid w:val="006F7247"/>
    <w:rPr>
      <w:rFonts w:ascii="Arial" w:eastAsiaTheme="majorEastAsia" w:hAnsi="Arial" w:cstheme="majorBidi"/>
      <w:b/>
      <w:i/>
      <w:iCs/>
      <w:color w:val="000000" w:themeColor="text1"/>
      <w:sz w:val="21"/>
      <w:lang w:val="en-GB" w:eastAsia="en-GB"/>
    </w:rPr>
  </w:style>
  <w:style w:type="character" w:customStyle="1" w:styleId="Heading6Char">
    <w:name w:val="Heading 6 Char"/>
    <w:basedOn w:val="DefaultParagraphFont"/>
    <w:link w:val="Heading6"/>
    <w:uiPriority w:val="9"/>
    <w:rsid w:val="006F7247"/>
    <w:rPr>
      <w:rFonts w:ascii="Arial" w:eastAsiaTheme="majorEastAsia" w:hAnsi="Arial" w:cstheme="majorBidi"/>
      <w:b/>
      <w:i/>
      <w:iCs/>
      <w:color w:val="000000" w:themeColor="text1"/>
      <w:sz w:val="21"/>
      <w:lang w:val="en-GB" w:eastAsia="en-GB"/>
    </w:rPr>
  </w:style>
  <w:style w:type="character" w:customStyle="1" w:styleId="Heading7Char">
    <w:name w:val="Heading 7 Char"/>
    <w:basedOn w:val="DefaultParagraphFont"/>
    <w:link w:val="Heading7"/>
    <w:uiPriority w:val="9"/>
    <w:rsid w:val="006F7247"/>
    <w:rPr>
      <w:rFonts w:ascii="Arial" w:eastAsiaTheme="majorEastAsia" w:hAnsi="Arial" w:cstheme="majorBidi"/>
      <w:b/>
      <w:i/>
      <w:iCs/>
      <w:color w:val="000000" w:themeColor="text1"/>
      <w:sz w:val="21"/>
      <w:lang w:val="en-GB" w:eastAsia="en-GB"/>
    </w:rPr>
  </w:style>
  <w:style w:type="character" w:customStyle="1" w:styleId="Heading8Char">
    <w:name w:val="Heading 8 Char"/>
    <w:basedOn w:val="DefaultParagraphFont"/>
    <w:link w:val="Heading8"/>
    <w:uiPriority w:val="9"/>
    <w:rsid w:val="006F7247"/>
    <w:rPr>
      <w:rFonts w:ascii="Arial" w:eastAsiaTheme="majorEastAsia" w:hAnsi="Arial" w:cstheme="majorBidi"/>
      <w:b/>
      <w:i/>
      <w:iCs/>
      <w:color w:val="000000" w:themeColor="text1"/>
      <w:sz w:val="21"/>
      <w:lang w:val="en-GB" w:eastAsia="en-GB"/>
    </w:rPr>
  </w:style>
  <w:style w:type="character" w:customStyle="1" w:styleId="Heading9Char">
    <w:name w:val="Heading 9 Char"/>
    <w:basedOn w:val="DefaultParagraphFont"/>
    <w:link w:val="Heading9"/>
    <w:uiPriority w:val="9"/>
    <w:rsid w:val="006F7247"/>
    <w:rPr>
      <w:rFonts w:ascii="Arial" w:eastAsiaTheme="majorEastAsia" w:hAnsi="Arial" w:cstheme="majorBidi"/>
      <w:b/>
      <w:i/>
      <w:iCs/>
      <w:color w:val="000000" w:themeColor="text1"/>
      <w:sz w:val="21"/>
      <w:lang w:val="en-GB" w:eastAsia="en-GB"/>
    </w:rPr>
  </w:style>
  <w:style w:type="character" w:styleId="Emphasis">
    <w:name w:val="Emphasis"/>
    <w:basedOn w:val="DefaultParagraphFont"/>
    <w:uiPriority w:val="20"/>
    <w:semiHidden/>
    <w:unhideWhenUsed/>
    <w:qFormat/>
    <w:rPr>
      <w:i w:val="0"/>
      <w:iCs/>
      <w:color w:val="8BC151" w:themeColor="accent1"/>
    </w:rPr>
  </w:style>
  <w:style w:type="character" w:styleId="IntenseEmphasis">
    <w:name w:val="Intense Emphasis"/>
    <w:basedOn w:val="DefaultParagraphFont"/>
    <w:uiPriority w:val="21"/>
    <w:semiHidden/>
    <w:unhideWhenUsed/>
    <w:qFormat/>
    <w:rPr>
      <w:b/>
      <w:i/>
      <w:iCs/>
      <w:color w:val="8BC151" w:themeColor="accent1"/>
    </w:rPr>
  </w:style>
  <w:style w:type="character" w:styleId="Strong">
    <w:name w:val="Strong"/>
    <w:basedOn w:val="DefaultParagraphFont"/>
    <w:uiPriority w:val="22"/>
    <w:semiHidden/>
    <w:unhideWhenUsed/>
    <w:qFormat/>
    <w:rPr>
      <w:b/>
      <w:bCs/>
    </w:rPr>
  </w:style>
  <w:style w:type="character" w:styleId="SubtleReference">
    <w:name w:val="Subtle Reference"/>
    <w:basedOn w:val="DefaultParagraphFont"/>
    <w:uiPriority w:val="31"/>
    <w:semiHidden/>
    <w:unhideWhenUsed/>
    <w:qFormat/>
    <w:rPr>
      <w:caps/>
      <w:smallCaps w:val="0"/>
      <w:color w:val="004D44" w:themeColor="text2"/>
    </w:rPr>
  </w:style>
  <w:style w:type="character" w:styleId="IntenseReference">
    <w:name w:val="Intense Reference"/>
    <w:basedOn w:val="DefaultParagraphFont"/>
    <w:uiPriority w:val="32"/>
    <w:semiHidden/>
    <w:unhideWhenUsed/>
    <w:qFormat/>
    <w:rPr>
      <w:b/>
      <w:bCs/>
      <w:caps/>
      <w:smallCaps w:val="0"/>
      <w:color w:val="004D44" w:themeColor="text2"/>
      <w:spacing w:val="0"/>
    </w:rPr>
  </w:style>
  <w:style w:type="character" w:styleId="BookTitle">
    <w:name w:val="Book Title"/>
    <w:basedOn w:val="DefaultParagraphFont"/>
    <w:uiPriority w:val="33"/>
    <w:semiHidden/>
    <w:unhideWhenUsed/>
    <w:qFormat/>
    <w:rPr>
      <w:b w:val="0"/>
      <w:bCs/>
      <w:i w:val="0"/>
      <w:iCs/>
      <w:spacing w:val="0"/>
      <w:u w:val="single"/>
    </w:rPr>
  </w:style>
  <w:style w:type="paragraph" w:styleId="Caption">
    <w:name w:val="caption"/>
    <w:basedOn w:val="Normal"/>
    <w:next w:val="Normal"/>
    <w:uiPriority w:val="35"/>
    <w:semiHidden/>
    <w:unhideWhenUsed/>
    <w:qFormat/>
    <w:pPr>
      <w:contextualSpacing/>
    </w:pPr>
    <w:rPr>
      <w:i/>
      <w:iCs/>
      <w:szCs w:val="18"/>
    </w:rPr>
  </w:style>
  <w:style w:type="paragraph" w:styleId="TOCHeading">
    <w:name w:val="TOC Heading"/>
    <w:basedOn w:val="Heading1"/>
    <w:next w:val="Normal"/>
    <w:uiPriority w:val="39"/>
    <w:unhideWhenUsed/>
    <w:rsid w:val="00EA5AE3"/>
    <w:pPr>
      <w:keepNext/>
      <w:keepLines/>
      <w:outlineLvl w:val="9"/>
    </w:pPr>
  </w:style>
  <w:style w:type="paragraph" w:styleId="Title">
    <w:name w:val="Title"/>
    <w:aliases w:val="Cover Title"/>
    <w:next w:val="Normal"/>
    <w:link w:val="TitleChar"/>
    <w:uiPriority w:val="10"/>
    <w:unhideWhenUsed/>
    <w:qFormat/>
    <w:rsid w:val="008E7FA1"/>
    <w:pPr>
      <w:spacing w:after="0" w:line="660" w:lineRule="exact"/>
      <w:contextualSpacing/>
    </w:pPr>
    <w:rPr>
      <w:rFonts w:ascii="Arial" w:eastAsiaTheme="majorEastAsia" w:hAnsi="Arial" w:cstheme="majorBidi"/>
      <w:b/>
      <w:bCs/>
      <w:color w:val="004E46"/>
      <w:kern w:val="28"/>
      <w:sz w:val="60"/>
      <w:szCs w:val="56"/>
    </w:rPr>
  </w:style>
  <w:style w:type="character" w:customStyle="1" w:styleId="TitleChar">
    <w:name w:val="Title Char"/>
    <w:aliases w:val="Cover Title Char"/>
    <w:basedOn w:val="DefaultParagraphFont"/>
    <w:link w:val="Title"/>
    <w:uiPriority w:val="10"/>
    <w:rsid w:val="008E7FA1"/>
    <w:rPr>
      <w:rFonts w:ascii="Arial" w:eastAsiaTheme="majorEastAsia" w:hAnsi="Arial" w:cstheme="majorBidi"/>
      <w:b/>
      <w:bCs/>
      <w:color w:val="004E46"/>
      <w:kern w:val="28"/>
      <w:sz w:val="60"/>
      <w:szCs w:val="56"/>
    </w:rPr>
  </w:style>
  <w:style w:type="paragraph" w:styleId="Subtitle">
    <w:name w:val="Subtitle"/>
    <w:aliases w:val="Subtitle Cover"/>
    <w:next w:val="Normal"/>
    <w:link w:val="SubtitleChar"/>
    <w:uiPriority w:val="11"/>
    <w:unhideWhenUsed/>
    <w:qFormat/>
    <w:rsid w:val="008E7FA1"/>
    <w:pPr>
      <w:numPr>
        <w:ilvl w:val="1"/>
      </w:numPr>
    </w:pPr>
    <w:rPr>
      <w:rFonts w:ascii="Arial" w:eastAsiaTheme="minorEastAsia" w:hAnsi="Arial" w:cstheme="majorBidi"/>
      <w:color w:val="A3912A" w:themeColor="accent6"/>
      <w:kern w:val="28"/>
      <w:sz w:val="60"/>
      <w:szCs w:val="56"/>
    </w:rPr>
  </w:style>
  <w:style w:type="character" w:customStyle="1" w:styleId="SubtitleChar">
    <w:name w:val="Subtitle Char"/>
    <w:aliases w:val="Subtitle Cover Char"/>
    <w:basedOn w:val="DefaultParagraphFont"/>
    <w:link w:val="Subtitle"/>
    <w:uiPriority w:val="11"/>
    <w:rsid w:val="008E7FA1"/>
    <w:rPr>
      <w:rFonts w:ascii="Arial" w:eastAsiaTheme="minorEastAsia" w:hAnsi="Arial" w:cstheme="majorBidi"/>
      <w:color w:val="A3912A" w:themeColor="accent6"/>
      <w:kern w:val="28"/>
      <w:sz w:val="60"/>
      <w:szCs w:val="56"/>
    </w:rPr>
  </w:style>
  <w:style w:type="character" w:styleId="PlaceholderText">
    <w:name w:val="Placeholder Text"/>
    <w:basedOn w:val="DefaultParagraphFont"/>
    <w:uiPriority w:val="99"/>
    <w:semiHidden/>
    <w:rPr>
      <w:color w:val="808080"/>
    </w:rPr>
  </w:style>
  <w:style w:type="character" w:styleId="SubtleEmphasis">
    <w:name w:val="Subtle Emphasis"/>
    <w:basedOn w:val="DefaultParagraphFont"/>
    <w:uiPriority w:val="19"/>
    <w:semiHidden/>
    <w:unhideWhenUsed/>
    <w:qFormat/>
    <w:rPr>
      <w:i/>
      <w:iCs/>
      <w:color w:val="004D44" w:themeColor="text2"/>
    </w:rPr>
  </w:style>
  <w:style w:type="paragraph" w:styleId="Quote">
    <w:name w:val="Quote"/>
    <w:basedOn w:val="Normal"/>
    <w:next w:val="Normal"/>
    <w:link w:val="QuoteChar"/>
    <w:uiPriority w:val="29"/>
    <w:unhideWhenUsed/>
    <w:qFormat/>
    <w:rsid w:val="006D4EC3"/>
    <w:pPr>
      <w:pBdr>
        <w:left w:val="single" w:sz="48" w:space="12" w:color="004D44" w:themeColor="text2"/>
      </w:pBdr>
      <w:spacing w:after="0" w:line="400" w:lineRule="exact"/>
      <w:ind w:left="907" w:right="1814"/>
      <w:contextualSpacing/>
    </w:pPr>
    <w:rPr>
      <w:b/>
      <w:bCs/>
      <w:color w:val="92D050"/>
      <w:sz w:val="28"/>
      <w:szCs w:val="28"/>
      <w:lang w:val="en-GB" w:eastAsia="en-GB"/>
    </w:rPr>
  </w:style>
  <w:style w:type="character" w:customStyle="1" w:styleId="QuoteChar">
    <w:name w:val="Quote Char"/>
    <w:basedOn w:val="DefaultParagraphFont"/>
    <w:link w:val="Quote"/>
    <w:uiPriority w:val="29"/>
    <w:rsid w:val="006D4EC3"/>
    <w:rPr>
      <w:rFonts w:ascii="Lato" w:hAnsi="Lato"/>
      <w:b/>
      <w:bCs/>
      <w:color w:val="92D050"/>
      <w:sz w:val="28"/>
      <w:szCs w:val="28"/>
      <w:lang w:val="en-GB" w:eastAsia="en-GB"/>
    </w:rPr>
  </w:style>
  <w:style w:type="paragraph" w:styleId="Header">
    <w:name w:val="header"/>
    <w:basedOn w:val="Normal"/>
    <w:link w:val="HeaderChar"/>
    <w:uiPriority w:val="99"/>
    <w:unhideWhenUsed/>
    <w:qFormat/>
    <w:rsid w:val="00FF3722"/>
    <w:pPr>
      <w:spacing w:after="0" w:line="240" w:lineRule="auto"/>
    </w:pPr>
    <w:rPr>
      <w:color w:val="777776"/>
      <w:sz w:val="16"/>
    </w:rPr>
  </w:style>
  <w:style w:type="character" w:customStyle="1" w:styleId="HeaderChar">
    <w:name w:val="Header Char"/>
    <w:basedOn w:val="DefaultParagraphFont"/>
    <w:link w:val="Header"/>
    <w:uiPriority w:val="99"/>
    <w:rsid w:val="00FF3722"/>
    <w:rPr>
      <w:rFonts w:ascii="Arial" w:hAnsi="Arial"/>
      <w:color w:val="777776"/>
      <w:sz w:val="16"/>
    </w:rPr>
  </w:style>
  <w:style w:type="paragraph" w:styleId="ListNumber">
    <w:name w:val="List Number"/>
    <w:basedOn w:val="Normal"/>
    <w:uiPriority w:val="11"/>
    <w:rsid w:val="00A02EE0"/>
    <w:pPr>
      <w:numPr>
        <w:numId w:val="6"/>
      </w:numPr>
      <w:tabs>
        <w:tab w:val="clear" w:pos="907"/>
      </w:tabs>
      <w:spacing w:before="80" w:after="80"/>
    </w:pPr>
  </w:style>
  <w:style w:type="paragraph" w:styleId="BlockText">
    <w:name w:val="Block Text"/>
    <w:basedOn w:val="Normal"/>
    <w:uiPriority w:val="31"/>
    <w:unhideWhenUsed/>
    <w:rsid w:val="000C19D9"/>
    <w:pPr>
      <w:spacing w:after="320" w:line="360" w:lineRule="exact"/>
    </w:pPr>
    <w:rPr>
      <w:rFonts w:eastAsiaTheme="minorEastAsia"/>
      <w:sz w:val="25"/>
      <w:szCs w:val="25"/>
      <w:lang w:val="en-GB" w:eastAsia="en-GB"/>
    </w:rPr>
  </w:style>
  <w:style w:type="paragraph" w:styleId="NormalWeb">
    <w:name w:val="Normal (Web)"/>
    <w:basedOn w:val="Normal"/>
    <w:uiPriority w:val="99"/>
    <w:semiHidden/>
    <w:unhideWhenUsed/>
    <w:rsid w:val="000A7C49"/>
    <w:pPr>
      <w:spacing w:before="100" w:beforeAutospacing="1" w:after="100" w:afterAutospacing="1" w:line="240" w:lineRule="auto"/>
    </w:pPr>
    <w:rPr>
      <w:rFonts w:ascii="Times New Roman" w:hAnsi="Times New Roman" w:cs="Times New Roman"/>
      <w:color w:val="auto"/>
      <w:sz w:val="24"/>
      <w:szCs w:val="24"/>
      <w:lang w:val="en-GB" w:eastAsia="en-GB"/>
    </w:rPr>
  </w:style>
  <w:style w:type="character" w:styleId="PageNumber">
    <w:name w:val="page number"/>
    <w:basedOn w:val="DefaultParagraphFont"/>
    <w:uiPriority w:val="99"/>
    <w:semiHidden/>
    <w:unhideWhenUsed/>
    <w:rsid w:val="000A7C49"/>
  </w:style>
  <w:style w:type="paragraph" w:customStyle="1" w:styleId="NoteLevel1">
    <w:name w:val="Note Level 1"/>
    <w:basedOn w:val="Normal"/>
    <w:uiPriority w:val="99"/>
    <w:rsid w:val="00A35E5C"/>
    <w:pPr>
      <w:keepNext/>
      <w:numPr>
        <w:numId w:val="8"/>
      </w:numPr>
      <w:spacing w:after="0"/>
      <w:contextualSpacing/>
      <w:outlineLvl w:val="0"/>
    </w:pPr>
  </w:style>
  <w:style w:type="paragraph" w:customStyle="1" w:styleId="NoteLevel2">
    <w:name w:val="Note Level 2"/>
    <w:basedOn w:val="Normal"/>
    <w:uiPriority w:val="99"/>
    <w:rsid w:val="00A35E5C"/>
    <w:pPr>
      <w:keepNext/>
      <w:numPr>
        <w:ilvl w:val="1"/>
        <w:numId w:val="8"/>
      </w:numPr>
      <w:spacing w:after="0"/>
      <w:contextualSpacing/>
      <w:outlineLvl w:val="1"/>
    </w:pPr>
  </w:style>
  <w:style w:type="paragraph" w:customStyle="1" w:styleId="NoteLevel3">
    <w:name w:val="Note Level 3"/>
    <w:basedOn w:val="Normal"/>
    <w:uiPriority w:val="99"/>
    <w:rsid w:val="00A35E5C"/>
    <w:pPr>
      <w:keepNext/>
      <w:numPr>
        <w:ilvl w:val="2"/>
        <w:numId w:val="8"/>
      </w:numPr>
      <w:spacing w:after="0"/>
      <w:contextualSpacing/>
      <w:outlineLvl w:val="2"/>
    </w:pPr>
  </w:style>
  <w:style w:type="paragraph" w:customStyle="1" w:styleId="NoteLevel4">
    <w:name w:val="Note Level 4"/>
    <w:basedOn w:val="Normal"/>
    <w:uiPriority w:val="99"/>
    <w:rsid w:val="00A35E5C"/>
    <w:pPr>
      <w:keepNext/>
      <w:numPr>
        <w:ilvl w:val="3"/>
        <w:numId w:val="8"/>
      </w:numPr>
      <w:spacing w:after="0"/>
      <w:contextualSpacing/>
      <w:outlineLvl w:val="3"/>
    </w:pPr>
  </w:style>
  <w:style w:type="paragraph" w:customStyle="1" w:styleId="NoteLevel5">
    <w:name w:val="Note Level 5"/>
    <w:basedOn w:val="Normal"/>
    <w:uiPriority w:val="99"/>
    <w:rsid w:val="00A35E5C"/>
    <w:pPr>
      <w:keepNext/>
      <w:numPr>
        <w:ilvl w:val="4"/>
        <w:numId w:val="8"/>
      </w:numPr>
      <w:spacing w:after="0"/>
      <w:contextualSpacing/>
      <w:outlineLvl w:val="4"/>
    </w:pPr>
  </w:style>
  <w:style w:type="paragraph" w:customStyle="1" w:styleId="NoteLevel6">
    <w:name w:val="Note Level 6"/>
    <w:basedOn w:val="Normal"/>
    <w:uiPriority w:val="99"/>
    <w:rsid w:val="00A35E5C"/>
    <w:pPr>
      <w:keepNext/>
      <w:numPr>
        <w:ilvl w:val="5"/>
        <w:numId w:val="8"/>
      </w:numPr>
      <w:spacing w:after="0"/>
      <w:contextualSpacing/>
      <w:outlineLvl w:val="5"/>
    </w:pPr>
  </w:style>
  <w:style w:type="paragraph" w:customStyle="1" w:styleId="NoteLevel7">
    <w:name w:val="Note Level 7"/>
    <w:basedOn w:val="Normal"/>
    <w:uiPriority w:val="99"/>
    <w:rsid w:val="00A35E5C"/>
    <w:pPr>
      <w:keepNext/>
      <w:numPr>
        <w:ilvl w:val="6"/>
        <w:numId w:val="8"/>
      </w:numPr>
      <w:spacing w:after="0"/>
      <w:contextualSpacing/>
      <w:outlineLvl w:val="6"/>
    </w:pPr>
  </w:style>
  <w:style w:type="paragraph" w:customStyle="1" w:styleId="NoteLevel8">
    <w:name w:val="Note Level 8"/>
    <w:basedOn w:val="Normal"/>
    <w:uiPriority w:val="99"/>
    <w:rsid w:val="00A35E5C"/>
    <w:pPr>
      <w:keepNext/>
      <w:numPr>
        <w:ilvl w:val="7"/>
        <w:numId w:val="8"/>
      </w:numPr>
      <w:spacing w:after="0"/>
      <w:contextualSpacing/>
      <w:outlineLvl w:val="7"/>
    </w:pPr>
  </w:style>
  <w:style w:type="paragraph" w:customStyle="1" w:styleId="NoteLevel9">
    <w:name w:val="Note Level 9"/>
    <w:basedOn w:val="Normal"/>
    <w:uiPriority w:val="99"/>
    <w:rsid w:val="00A35E5C"/>
    <w:pPr>
      <w:keepNext/>
      <w:numPr>
        <w:ilvl w:val="8"/>
        <w:numId w:val="8"/>
      </w:numPr>
      <w:spacing w:after="0"/>
      <w:contextualSpacing/>
      <w:outlineLvl w:val="8"/>
    </w:pPr>
  </w:style>
  <w:style w:type="paragraph" w:customStyle="1" w:styleId="Normal2Column">
    <w:name w:val="Normal_2Column"/>
    <w:qFormat/>
    <w:rsid w:val="008E7FA1"/>
    <w:pPr>
      <w:spacing w:after="160" w:line="280" w:lineRule="atLeast"/>
    </w:pPr>
    <w:rPr>
      <w:rFonts w:ascii="Arial" w:hAnsi="Arial"/>
      <w:color w:val="000000" w:themeColor="text1"/>
      <w:sz w:val="21"/>
      <w:lang w:val="en-GB" w:eastAsia="en-GB"/>
    </w:rPr>
  </w:style>
  <w:style w:type="paragraph" w:customStyle="1" w:styleId="BoldHeading2Column">
    <w:name w:val="Bold Heading _ 2Column"/>
    <w:basedOn w:val="Normal2Column"/>
    <w:rsid w:val="00BB0528"/>
    <w:pPr>
      <w:tabs>
        <w:tab w:val="left" w:pos="454"/>
        <w:tab w:val="left" w:pos="907"/>
        <w:tab w:val="left" w:pos="1361"/>
        <w:tab w:val="left" w:pos="1814"/>
        <w:tab w:val="left" w:pos="2268"/>
      </w:tabs>
      <w:spacing w:after="0" w:line="280" w:lineRule="exact"/>
    </w:pPr>
    <w:rPr>
      <w:b/>
      <w:sz w:val="19"/>
      <w:szCs w:val="19"/>
    </w:rPr>
  </w:style>
  <w:style w:type="paragraph" w:customStyle="1" w:styleId="Contents">
    <w:name w:val="Contents"/>
    <w:basedOn w:val="Normal"/>
    <w:next w:val="Normal"/>
    <w:qFormat/>
    <w:rsid w:val="00733690"/>
    <w:pPr>
      <w:numPr>
        <w:numId w:val="17"/>
      </w:numPr>
      <w:spacing w:before="240" w:after="240"/>
      <w:ind w:left="454" w:hanging="454"/>
    </w:pPr>
    <w:rPr>
      <w:b/>
      <w:bCs/>
      <w:sz w:val="28"/>
    </w:rPr>
  </w:style>
  <w:style w:type="paragraph" w:styleId="FootnoteText">
    <w:name w:val="footnote text"/>
    <w:basedOn w:val="Normal"/>
    <w:link w:val="FootnoteTextChar"/>
    <w:uiPriority w:val="99"/>
    <w:unhideWhenUsed/>
    <w:rsid w:val="00B91108"/>
    <w:pPr>
      <w:spacing w:after="0" w:line="240" w:lineRule="auto"/>
    </w:pPr>
    <w:rPr>
      <w:sz w:val="24"/>
      <w:szCs w:val="24"/>
    </w:rPr>
  </w:style>
  <w:style w:type="character" w:customStyle="1" w:styleId="FootnoteTextChar">
    <w:name w:val="Footnote Text Char"/>
    <w:basedOn w:val="DefaultParagraphFont"/>
    <w:link w:val="FootnoteText"/>
    <w:uiPriority w:val="99"/>
    <w:rsid w:val="00B91108"/>
    <w:rPr>
      <w:rFonts w:ascii="Lato" w:hAnsi="Lato"/>
      <w:color w:val="000000" w:themeColor="text1"/>
      <w:sz w:val="24"/>
      <w:szCs w:val="24"/>
    </w:rPr>
  </w:style>
  <w:style w:type="character" w:styleId="FootnoteReference">
    <w:name w:val="footnote reference"/>
    <w:uiPriority w:val="99"/>
    <w:unhideWhenUsed/>
    <w:rsid w:val="00B91108"/>
    <w:rPr>
      <w:rFonts w:ascii="Lato" w:hAnsi="Lato"/>
      <w:b/>
      <w:bCs/>
      <w:i w:val="0"/>
      <w:iCs w:val="0"/>
      <w:sz w:val="15"/>
      <w:vertAlign w:val="superscript"/>
    </w:rPr>
  </w:style>
  <w:style w:type="paragraph" w:styleId="TOC1">
    <w:name w:val="toc 1"/>
    <w:basedOn w:val="Normal"/>
    <w:next w:val="Normal"/>
    <w:uiPriority w:val="39"/>
    <w:unhideWhenUsed/>
    <w:rsid w:val="008E7FA1"/>
    <w:pPr>
      <w:tabs>
        <w:tab w:val="clear" w:pos="454"/>
        <w:tab w:val="clear" w:pos="907"/>
        <w:tab w:val="clear" w:pos="1361"/>
        <w:tab w:val="clear" w:pos="1814"/>
        <w:tab w:val="clear" w:pos="2268"/>
      </w:tabs>
      <w:spacing w:before="80" w:after="80" w:line="320" w:lineRule="exact"/>
    </w:pPr>
    <w:rPr>
      <w:b/>
      <w:bCs/>
      <w:sz w:val="24"/>
      <w:szCs w:val="24"/>
    </w:rPr>
  </w:style>
  <w:style w:type="paragraph" w:styleId="TOC2">
    <w:name w:val="toc 2"/>
    <w:basedOn w:val="Normal"/>
    <w:next w:val="Normal"/>
    <w:uiPriority w:val="39"/>
    <w:unhideWhenUsed/>
    <w:rsid w:val="008E7FA1"/>
    <w:pPr>
      <w:tabs>
        <w:tab w:val="clear" w:pos="454"/>
        <w:tab w:val="clear" w:pos="907"/>
        <w:tab w:val="clear" w:pos="1361"/>
        <w:tab w:val="clear" w:pos="1814"/>
        <w:tab w:val="clear" w:pos="2268"/>
        <w:tab w:val="right" w:pos="8608"/>
      </w:tabs>
      <w:spacing w:after="0" w:line="320" w:lineRule="exact"/>
      <w:ind w:left="454"/>
    </w:pPr>
    <w:rPr>
      <w:sz w:val="24"/>
    </w:rPr>
  </w:style>
  <w:style w:type="character" w:styleId="Hyperlink">
    <w:name w:val="Hyperlink"/>
    <w:basedOn w:val="DefaultParagraphFont"/>
    <w:uiPriority w:val="99"/>
    <w:unhideWhenUsed/>
    <w:rsid w:val="00155EA5"/>
    <w:rPr>
      <w:color w:val="0070C0"/>
      <w:u w:val="single"/>
    </w:rPr>
  </w:style>
  <w:style w:type="paragraph" w:customStyle="1" w:styleId="EndorsementText">
    <w:name w:val="Endorsement Text"/>
    <w:basedOn w:val="Normal"/>
    <w:qFormat/>
    <w:rsid w:val="00EB580B"/>
    <w:pPr>
      <w:spacing w:after="0"/>
    </w:pPr>
    <w:rPr>
      <w:color w:val="FFFFFF" w:themeColor="background1"/>
    </w:rPr>
  </w:style>
  <w:style w:type="character" w:styleId="FollowedHyperlink">
    <w:name w:val="FollowedHyperlink"/>
    <w:basedOn w:val="DefaultParagraphFont"/>
    <w:uiPriority w:val="99"/>
    <w:semiHidden/>
    <w:unhideWhenUsed/>
    <w:rsid w:val="004E7C39"/>
    <w:rPr>
      <w:color w:val="0070C0"/>
      <w:sz w:val="21"/>
      <w:u w:val="single"/>
    </w:rPr>
  </w:style>
  <w:style w:type="paragraph" w:styleId="ListParagraph">
    <w:name w:val="List Paragraph"/>
    <w:aliases w:val="Dot pt,No Spacing1,List Paragraph Char Char Char,Indicator Text,Numbered Para 1,List Paragraph1,Bullet Points,MAIN CONTENT,OBC Bullet,List Paragraph11,List Paragraph12,F5 List Paragraph,Colorful List - Accent 11,Normal numbered,Bullet 1,3"/>
    <w:basedOn w:val="Normal"/>
    <w:link w:val="ListParagraphChar"/>
    <w:uiPriority w:val="34"/>
    <w:qFormat/>
    <w:rsid w:val="00DE4F21"/>
    <w:pPr>
      <w:tabs>
        <w:tab w:val="clear" w:pos="454"/>
        <w:tab w:val="clear" w:pos="907"/>
        <w:tab w:val="clear" w:pos="1361"/>
        <w:tab w:val="clear" w:pos="1814"/>
        <w:tab w:val="clear" w:pos="2268"/>
      </w:tabs>
      <w:spacing w:after="160" w:line="259" w:lineRule="auto"/>
      <w:ind w:left="720"/>
      <w:contextualSpacing/>
    </w:pPr>
    <w:rPr>
      <w:rFonts w:asciiTheme="minorHAnsi" w:eastAsia="Times New Roman" w:hAnsiTheme="minorHAnsi" w:cs="Times New Roman"/>
      <w:color w:val="auto"/>
      <w:sz w:val="22"/>
      <w:lang w:val="en-IE" w:eastAsia="en-US"/>
    </w:rPr>
  </w:style>
  <w:style w:type="paragraph" w:styleId="CommentText">
    <w:name w:val="annotation text"/>
    <w:basedOn w:val="Normal"/>
    <w:link w:val="CommentTextChar"/>
    <w:uiPriority w:val="99"/>
    <w:unhideWhenUsed/>
    <w:rsid w:val="00DE4F21"/>
    <w:pPr>
      <w:tabs>
        <w:tab w:val="clear" w:pos="454"/>
        <w:tab w:val="clear" w:pos="907"/>
        <w:tab w:val="clear" w:pos="1361"/>
        <w:tab w:val="clear" w:pos="1814"/>
        <w:tab w:val="clear" w:pos="2268"/>
      </w:tabs>
      <w:spacing w:after="160" w:line="240" w:lineRule="auto"/>
    </w:pPr>
    <w:rPr>
      <w:rFonts w:asciiTheme="minorHAnsi" w:eastAsia="Times New Roman" w:hAnsiTheme="minorHAnsi" w:cs="Times New Roman"/>
      <w:color w:val="auto"/>
      <w:sz w:val="20"/>
      <w:szCs w:val="20"/>
      <w:lang w:val="en-IE" w:eastAsia="en-US"/>
    </w:rPr>
  </w:style>
  <w:style w:type="character" w:customStyle="1" w:styleId="CommentTextChar">
    <w:name w:val="Comment Text Char"/>
    <w:basedOn w:val="DefaultParagraphFont"/>
    <w:link w:val="CommentText"/>
    <w:uiPriority w:val="99"/>
    <w:rsid w:val="00DE4F21"/>
    <w:rPr>
      <w:rFonts w:eastAsia="Times New Roman" w:cs="Times New Roman"/>
      <w:color w:val="auto"/>
      <w:sz w:val="20"/>
      <w:szCs w:val="20"/>
      <w:lang w:val="en-IE" w:eastAsia="en-US"/>
    </w:rPr>
  </w:style>
  <w:style w:type="character" w:styleId="CommentReference">
    <w:name w:val="annotation reference"/>
    <w:basedOn w:val="DefaultParagraphFont"/>
    <w:uiPriority w:val="99"/>
    <w:semiHidden/>
    <w:unhideWhenUsed/>
    <w:rsid w:val="00DE4F21"/>
    <w:rPr>
      <w:sz w:val="16"/>
      <w:szCs w:val="16"/>
    </w:rPr>
  </w:style>
  <w:style w:type="paragraph" w:styleId="CommentSubject">
    <w:name w:val="annotation subject"/>
    <w:basedOn w:val="CommentText"/>
    <w:next w:val="CommentText"/>
    <w:link w:val="CommentSubjectChar"/>
    <w:uiPriority w:val="99"/>
    <w:semiHidden/>
    <w:unhideWhenUsed/>
    <w:rsid w:val="00DE4F21"/>
    <w:pPr>
      <w:tabs>
        <w:tab w:val="left" w:pos="454"/>
        <w:tab w:val="left" w:pos="907"/>
        <w:tab w:val="left" w:pos="1361"/>
        <w:tab w:val="left" w:pos="1814"/>
        <w:tab w:val="left" w:pos="2268"/>
      </w:tabs>
      <w:spacing w:after="270"/>
    </w:pPr>
    <w:rPr>
      <w:rFonts w:ascii="Arial" w:eastAsiaTheme="minorHAnsi" w:hAnsi="Arial" w:cstheme="minorBidi"/>
      <w:b/>
      <w:bCs/>
      <w:color w:val="000000" w:themeColor="text1"/>
      <w:lang w:val="en-US" w:eastAsia="ja-JP"/>
    </w:rPr>
  </w:style>
  <w:style w:type="character" w:customStyle="1" w:styleId="CommentSubjectChar">
    <w:name w:val="Comment Subject Char"/>
    <w:basedOn w:val="CommentTextChar"/>
    <w:link w:val="CommentSubject"/>
    <w:uiPriority w:val="99"/>
    <w:semiHidden/>
    <w:rsid w:val="00DE4F21"/>
    <w:rPr>
      <w:rFonts w:ascii="Arial" w:eastAsia="Times New Roman" w:hAnsi="Arial" w:cs="Times New Roman"/>
      <w:b/>
      <w:bCs/>
      <w:color w:val="000000" w:themeColor="text1"/>
      <w:sz w:val="20"/>
      <w:szCs w:val="20"/>
      <w:lang w:val="en-IE" w:eastAsia="en-US"/>
    </w:rPr>
  </w:style>
  <w:style w:type="paragraph" w:styleId="BalloonText">
    <w:name w:val="Balloon Text"/>
    <w:basedOn w:val="Normal"/>
    <w:link w:val="BalloonTextChar"/>
    <w:uiPriority w:val="99"/>
    <w:semiHidden/>
    <w:unhideWhenUsed/>
    <w:rsid w:val="00DE4F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4F21"/>
    <w:rPr>
      <w:rFonts w:ascii="Segoe UI" w:hAnsi="Segoe UI" w:cs="Segoe UI"/>
      <w:color w:val="000000" w:themeColor="text1"/>
      <w:sz w:val="18"/>
      <w:szCs w:val="18"/>
    </w:rPr>
  </w:style>
  <w:style w:type="character" w:customStyle="1" w:styleId="ListParagraphChar">
    <w:name w:val="List Paragraph Char"/>
    <w:aliases w:val="Dot pt Char,No Spacing1 Char,List Paragraph Char Char Char Char,Indicator Text Char,Numbered Para 1 Char,List Paragraph1 Char,Bullet Points Char,MAIN CONTENT Char,OBC Bullet Char,List Paragraph11 Char,List Paragraph12 Char,3 Char"/>
    <w:basedOn w:val="DefaultParagraphFont"/>
    <w:link w:val="ListParagraph"/>
    <w:uiPriority w:val="34"/>
    <w:locked/>
    <w:rsid w:val="00BA75A8"/>
    <w:rPr>
      <w:rFonts w:eastAsia="Times New Roman" w:cs="Times New Roman"/>
      <w:color w:val="auto"/>
      <w:lang w:val="en-I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017905">
      <w:bodyDiv w:val="1"/>
      <w:marLeft w:val="0"/>
      <w:marRight w:val="0"/>
      <w:marTop w:val="0"/>
      <w:marBottom w:val="0"/>
      <w:divBdr>
        <w:top w:val="none" w:sz="0" w:space="0" w:color="auto"/>
        <w:left w:val="none" w:sz="0" w:space="0" w:color="auto"/>
        <w:bottom w:val="none" w:sz="0" w:space="0" w:color="auto"/>
        <w:right w:val="none" w:sz="0" w:space="0" w:color="auto"/>
      </w:divBdr>
    </w:div>
    <w:div w:id="208421490">
      <w:bodyDiv w:val="1"/>
      <w:marLeft w:val="0"/>
      <w:marRight w:val="0"/>
      <w:marTop w:val="0"/>
      <w:marBottom w:val="0"/>
      <w:divBdr>
        <w:top w:val="none" w:sz="0" w:space="0" w:color="auto"/>
        <w:left w:val="none" w:sz="0" w:space="0" w:color="auto"/>
        <w:bottom w:val="none" w:sz="0" w:space="0" w:color="auto"/>
        <w:right w:val="none" w:sz="0" w:space="0" w:color="auto"/>
      </w:divBdr>
    </w:div>
    <w:div w:id="254366166">
      <w:bodyDiv w:val="1"/>
      <w:marLeft w:val="0"/>
      <w:marRight w:val="0"/>
      <w:marTop w:val="0"/>
      <w:marBottom w:val="0"/>
      <w:divBdr>
        <w:top w:val="none" w:sz="0" w:space="0" w:color="auto"/>
        <w:left w:val="none" w:sz="0" w:space="0" w:color="auto"/>
        <w:bottom w:val="none" w:sz="0" w:space="0" w:color="auto"/>
        <w:right w:val="none" w:sz="0" w:space="0" w:color="auto"/>
      </w:divBdr>
    </w:div>
    <w:div w:id="410195537">
      <w:bodyDiv w:val="1"/>
      <w:marLeft w:val="0"/>
      <w:marRight w:val="0"/>
      <w:marTop w:val="0"/>
      <w:marBottom w:val="0"/>
      <w:divBdr>
        <w:top w:val="none" w:sz="0" w:space="0" w:color="auto"/>
        <w:left w:val="none" w:sz="0" w:space="0" w:color="auto"/>
        <w:bottom w:val="none" w:sz="0" w:space="0" w:color="auto"/>
        <w:right w:val="none" w:sz="0" w:space="0" w:color="auto"/>
      </w:divBdr>
    </w:div>
    <w:div w:id="689069458">
      <w:bodyDiv w:val="1"/>
      <w:marLeft w:val="0"/>
      <w:marRight w:val="0"/>
      <w:marTop w:val="0"/>
      <w:marBottom w:val="0"/>
      <w:divBdr>
        <w:top w:val="none" w:sz="0" w:space="0" w:color="auto"/>
        <w:left w:val="none" w:sz="0" w:space="0" w:color="auto"/>
        <w:bottom w:val="none" w:sz="0" w:space="0" w:color="auto"/>
        <w:right w:val="none" w:sz="0" w:space="0" w:color="auto"/>
      </w:divBdr>
    </w:div>
    <w:div w:id="1106773820">
      <w:bodyDiv w:val="1"/>
      <w:marLeft w:val="0"/>
      <w:marRight w:val="0"/>
      <w:marTop w:val="0"/>
      <w:marBottom w:val="0"/>
      <w:divBdr>
        <w:top w:val="none" w:sz="0" w:space="0" w:color="auto"/>
        <w:left w:val="none" w:sz="0" w:space="0" w:color="auto"/>
        <w:bottom w:val="none" w:sz="0" w:space="0" w:color="auto"/>
        <w:right w:val="none" w:sz="0" w:space="0" w:color="auto"/>
      </w:divBdr>
    </w:div>
    <w:div w:id="1238708303">
      <w:bodyDiv w:val="1"/>
      <w:marLeft w:val="0"/>
      <w:marRight w:val="0"/>
      <w:marTop w:val="0"/>
      <w:marBottom w:val="0"/>
      <w:divBdr>
        <w:top w:val="none" w:sz="0" w:space="0" w:color="auto"/>
        <w:left w:val="none" w:sz="0" w:space="0" w:color="auto"/>
        <w:bottom w:val="none" w:sz="0" w:space="0" w:color="auto"/>
        <w:right w:val="none" w:sz="0" w:space="0" w:color="auto"/>
      </w:divBdr>
    </w:div>
    <w:div w:id="1328945228">
      <w:bodyDiv w:val="1"/>
      <w:marLeft w:val="0"/>
      <w:marRight w:val="0"/>
      <w:marTop w:val="0"/>
      <w:marBottom w:val="0"/>
      <w:divBdr>
        <w:top w:val="none" w:sz="0" w:space="0" w:color="auto"/>
        <w:left w:val="none" w:sz="0" w:space="0" w:color="auto"/>
        <w:bottom w:val="none" w:sz="0" w:space="0" w:color="auto"/>
        <w:right w:val="none" w:sz="0" w:space="0" w:color="auto"/>
      </w:divBdr>
      <w:divsChild>
        <w:div w:id="353577378">
          <w:marLeft w:val="0"/>
          <w:marRight w:val="0"/>
          <w:marTop w:val="570"/>
          <w:marBottom w:val="0"/>
          <w:divBdr>
            <w:top w:val="none" w:sz="0" w:space="0" w:color="auto"/>
            <w:left w:val="none" w:sz="0" w:space="0" w:color="auto"/>
            <w:bottom w:val="none" w:sz="0" w:space="0" w:color="auto"/>
            <w:right w:val="none" w:sz="0" w:space="0" w:color="auto"/>
          </w:divBdr>
          <w:divsChild>
            <w:div w:id="624000199">
              <w:marLeft w:val="0"/>
              <w:marRight w:val="0"/>
              <w:marTop w:val="0"/>
              <w:marBottom w:val="225"/>
              <w:divBdr>
                <w:top w:val="none" w:sz="0" w:space="0" w:color="auto"/>
                <w:left w:val="none" w:sz="0" w:space="0" w:color="auto"/>
                <w:bottom w:val="single" w:sz="6" w:space="21" w:color="D2D2D2"/>
                <w:right w:val="none" w:sz="0" w:space="0" w:color="auto"/>
              </w:divBdr>
            </w:div>
          </w:divsChild>
        </w:div>
      </w:divsChild>
    </w:div>
    <w:div w:id="1465659055">
      <w:bodyDiv w:val="1"/>
      <w:marLeft w:val="0"/>
      <w:marRight w:val="0"/>
      <w:marTop w:val="0"/>
      <w:marBottom w:val="0"/>
      <w:divBdr>
        <w:top w:val="none" w:sz="0" w:space="0" w:color="auto"/>
        <w:left w:val="none" w:sz="0" w:space="0" w:color="auto"/>
        <w:bottom w:val="none" w:sz="0" w:space="0" w:color="auto"/>
        <w:right w:val="none" w:sz="0" w:space="0" w:color="auto"/>
      </w:divBdr>
      <w:divsChild>
        <w:div w:id="847133022">
          <w:marLeft w:val="0"/>
          <w:marRight w:val="0"/>
          <w:marTop w:val="570"/>
          <w:marBottom w:val="0"/>
          <w:divBdr>
            <w:top w:val="none" w:sz="0" w:space="0" w:color="auto"/>
            <w:left w:val="none" w:sz="0" w:space="0" w:color="auto"/>
            <w:bottom w:val="none" w:sz="0" w:space="0" w:color="auto"/>
            <w:right w:val="none" w:sz="0" w:space="0" w:color="auto"/>
          </w:divBdr>
          <w:divsChild>
            <w:div w:id="1374310370">
              <w:marLeft w:val="0"/>
              <w:marRight w:val="0"/>
              <w:marTop w:val="0"/>
              <w:marBottom w:val="225"/>
              <w:divBdr>
                <w:top w:val="none" w:sz="0" w:space="0" w:color="auto"/>
                <w:left w:val="none" w:sz="0" w:space="0" w:color="auto"/>
                <w:bottom w:val="single" w:sz="6" w:space="21" w:color="D2D2D2"/>
                <w:right w:val="none" w:sz="0" w:space="0" w:color="auto"/>
              </w:divBdr>
            </w:div>
          </w:divsChild>
        </w:div>
      </w:divsChild>
    </w:div>
    <w:div w:id="1915312381">
      <w:bodyDiv w:val="1"/>
      <w:marLeft w:val="0"/>
      <w:marRight w:val="0"/>
      <w:marTop w:val="0"/>
      <w:marBottom w:val="0"/>
      <w:divBdr>
        <w:top w:val="none" w:sz="0" w:space="0" w:color="auto"/>
        <w:left w:val="none" w:sz="0" w:space="0" w:color="auto"/>
        <w:bottom w:val="none" w:sz="0" w:space="0" w:color="auto"/>
        <w:right w:val="none" w:sz="0" w:space="0" w:color="auto"/>
      </w:divBdr>
    </w:div>
    <w:div w:id="1924026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Government_Identity">
  <a:themeElements>
    <a:clrScheme name="Government Identity New">
      <a:dk1>
        <a:srgbClr val="000000"/>
      </a:dk1>
      <a:lt1>
        <a:srgbClr val="FFFFFF"/>
      </a:lt1>
      <a:dk2>
        <a:srgbClr val="004D44"/>
      </a:dk2>
      <a:lt2>
        <a:srgbClr val="EDECE6"/>
      </a:lt2>
      <a:accent1>
        <a:srgbClr val="8BC151"/>
      </a:accent1>
      <a:accent2>
        <a:srgbClr val="E16F2A"/>
      </a:accent2>
      <a:accent3>
        <a:srgbClr val="0091C8"/>
      </a:accent3>
      <a:accent4>
        <a:srgbClr val="DA312A"/>
      </a:accent4>
      <a:accent5>
        <a:srgbClr val="514E8F"/>
      </a:accent5>
      <a:accent6>
        <a:srgbClr val="A3912A"/>
      </a:accent6>
      <a:hlink>
        <a:srgbClr val="FFFFFF"/>
      </a:hlink>
      <a:folHlink>
        <a:srgbClr val="FFFFFF"/>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Gothic"/>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Government_Identity" id="{FB7A3AFE-17A1-3D4A-9FF7-D9E2CE473136}" vid="{803B0B74-6873-7144-BE94-77D146479013}"/>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CA661BC-E063-491A-BCAE-A0D400E7C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2174</Words>
  <Characters>12398</Characters>
  <Application>Microsoft Office Word</Application>
  <DocSecurity>4</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Rachel Hallahan</cp:lastModifiedBy>
  <cp:revision>2</cp:revision>
  <cp:lastPrinted>2018-10-03T08:52:00Z</cp:lastPrinted>
  <dcterms:created xsi:type="dcterms:W3CDTF">2020-04-28T09:10:00Z</dcterms:created>
  <dcterms:modified xsi:type="dcterms:W3CDTF">2020-04-28T09:10:00Z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TF10002028</vt:lpwstr>
  </property>
</Properties>
</file>